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0F14" w14:textId="1D4D8B6A" w:rsidR="00BB70BF" w:rsidRPr="00EB6311" w:rsidRDefault="0075209D" w:rsidP="00562A9D">
      <w:pPr>
        <w:jc w:val="center"/>
        <w:rPr>
          <w:rFonts w:cstheme="minorHAnsi"/>
          <w:b/>
          <w:sz w:val="24"/>
        </w:rPr>
      </w:pPr>
      <w:r w:rsidRPr="00EB6311">
        <w:rPr>
          <w:rFonts w:cstheme="minorHAnsi"/>
          <w:b/>
          <w:sz w:val="24"/>
          <w:szCs w:val="24"/>
        </w:rPr>
        <w:t>O</w:t>
      </w:r>
      <w:r w:rsidR="00EF05CF" w:rsidRPr="00EB6311">
        <w:rPr>
          <w:rFonts w:cstheme="minorHAnsi"/>
          <w:b/>
          <w:sz w:val="24"/>
          <w:szCs w:val="24"/>
        </w:rPr>
        <w:t>brazložen</w:t>
      </w:r>
      <w:r w:rsidRPr="00EB6311">
        <w:rPr>
          <w:rFonts w:cstheme="minorHAnsi"/>
          <w:b/>
          <w:sz w:val="24"/>
          <w:szCs w:val="24"/>
        </w:rPr>
        <w:t xml:space="preserve">je Posebnog dijela </w:t>
      </w:r>
      <w:r w:rsidR="00EF05CF" w:rsidRPr="00EB6311">
        <w:rPr>
          <w:rFonts w:cstheme="minorHAnsi"/>
          <w:b/>
          <w:sz w:val="24"/>
          <w:szCs w:val="24"/>
        </w:rPr>
        <w:t>financijskog plana</w:t>
      </w:r>
      <w:r w:rsidRPr="00EB6311">
        <w:rPr>
          <w:rFonts w:cstheme="minorHAnsi"/>
          <w:b/>
          <w:sz w:val="24"/>
          <w:szCs w:val="24"/>
        </w:rPr>
        <w:t xml:space="preserve"> Državnog zavoda</w:t>
      </w:r>
      <w:r w:rsidR="00BB70BF" w:rsidRPr="00EB6311">
        <w:rPr>
          <w:rFonts w:cstheme="minorHAnsi"/>
          <w:b/>
          <w:sz w:val="24"/>
        </w:rPr>
        <w:t xml:space="preserve"> za intelektualno vlasništvo</w:t>
      </w:r>
      <w:r w:rsidRPr="00EB6311">
        <w:rPr>
          <w:rFonts w:cstheme="minorHAnsi"/>
          <w:b/>
          <w:sz w:val="24"/>
          <w:szCs w:val="24"/>
        </w:rPr>
        <w:t xml:space="preserve"> (2023-2025)</w:t>
      </w:r>
    </w:p>
    <w:p w14:paraId="5FFBE531" w14:textId="77777777" w:rsidR="00EF05CF" w:rsidRPr="00EB6311" w:rsidRDefault="00EF05CF">
      <w:pPr>
        <w:rPr>
          <w:rFonts w:cstheme="minorHAnsi"/>
        </w:rPr>
      </w:pPr>
    </w:p>
    <w:p w14:paraId="5D946543" w14:textId="77777777" w:rsidR="00EF05CF" w:rsidRPr="00EB6311" w:rsidRDefault="008043DB" w:rsidP="00EF05CF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rFonts w:cstheme="minorHAnsi"/>
          <w:b/>
          <w:sz w:val="28"/>
        </w:rPr>
      </w:pPr>
      <w:r w:rsidRPr="00EB6311">
        <w:rPr>
          <w:rFonts w:cstheme="minorHAnsi"/>
          <w:b/>
          <w:sz w:val="28"/>
        </w:rPr>
        <w:t xml:space="preserve">08012 </w:t>
      </w:r>
      <w:r w:rsidRPr="00EB6311">
        <w:rPr>
          <w:rFonts w:cstheme="minorHAnsi"/>
          <w:b/>
          <w:sz w:val="28"/>
        </w:rPr>
        <w:tab/>
      </w:r>
      <w:r w:rsidR="00EF05CF" w:rsidRPr="00EB6311">
        <w:rPr>
          <w:rFonts w:cstheme="minorHAnsi"/>
          <w:b/>
          <w:sz w:val="28"/>
        </w:rPr>
        <w:t xml:space="preserve">Sažetak djelokruga </w:t>
      </w:r>
      <w:r w:rsidR="00F51C89" w:rsidRPr="00EB6311">
        <w:rPr>
          <w:rFonts w:cstheme="minorHAnsi"/>
          <w:b/>
          <w:sz w:val="28"/>
        </w:rPr>
        <w:t xml:space="preserve">Državnog zavoda za intelektualno vlasništvo </w:t>
      </w:r>
    </w:p>
    <w:p w14:paraId="19A3E5A1" w14:textId="77777777" w:rsidR="00EB6311" w:rsidRPr="00EB6311" w:rsidRDefault="00BB70BF" w:rsidP="007F610C">
      <w:pPr>
        <w:jc w:val="both"/>
        <w:rPr>
          <w:rFonts w:cstheme="minorHAnsi"/>
        </w:rPr>
      </w:pPr>
      <w:r w:rsidRPr="00EB6311">
        <w:rPr>
          <w:rFonts w:cstheme="minorHAnsi"/>
        </w:rPr>
        <w:t>Državni zavod za intelektualno vlasništvo (DZIV-a) obavlja sljedeće poslove i zadatke iz svoje nadležnosti:</w:t>
      </w:r>
    </w:p>
    <w:p w14:paraId="2F94AD9A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>razvoj zakonodavnog okvira za zaštitu industrijskog vlasništva usklađen s pravnim okvirom Europske unije i međunarodnim pravnim okvirom te nacionalnim strateškim okvirom;</w:t>
      </w:r>
    </w:p>
    <w:p w14:paraId="75D4AA9C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osiguravanje kvalitetne i učinkovite provedbe postupaka za priznanje prava industrijskog vlasništva na teritoriju Republike Hrvatske (RH), koje DZIV provodi samostalno ili putem odgovarajućih međunarodnih i europskih sustava u kojima RH sudjeluje; </w:t>
      </w:r>
    </w:p>
    <w:p w14:paraId="7AA20F51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>osiguravanje, učinkovitog i poticajnog sustava zaštite autorskih i srodnih prava, usklađenog s tehnološkim razvojem, kroz razvoj odgovarajućeg zakonodavnog okvira, nadzor nad sustavom kolektivnog ostvarivanja prava te provedbu i razvoj prateće stručne djelatnosti;</w:t>
      </w:r>
    </w:p>
    <w:p w14:paraId="36327EF4" w14:textId="1AD2A5B6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zastupanje interesa RH u razvoju zajedničkog zakonodavnog i institucionalnog okvira Europske unije u području intelektualnog vlasništva; </w:t>
      </w:r>
    </w:p>
    <w:p w14:paraId="4A3D191A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zastupanje interesa i jačanje utjecaja RH u međunarodnim (europskim i svjetskim) organizacijama i tijelima Europske unije iz područja intelektualnog vlasništva te daljnji razvoj članstva u međunarodnim konvencijama i ugovorima u skladu s ciljevima razvoja nacionalnog sustava intelektualnog vlasništva; </w:t>
      </w:r>
    </w:p>
    <w:p w14:paraId="24F8D8B5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osiguravanje provedbe obveza iz međunarodnih konvencija i ugovora iz područja intelektualnog vlasništva kojih je RH članica i koje su u nadležnosti DZIV-a; </w:t>
      </w:r>
    </w:p>
    <w:p w14:paraId="799E5E8F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doprinos razvoju učinkovitog nacionalnog sustava provedbe prava intelektualnog vlasništva, uključujući suzbijanje prometa krivotvorenim proizvodima i piratstva, u suradnji i uz koordinaciju s tijelima za provedbu prava te drugim dionicima sustava iz javnog i privatnog sektora; </w:t>
      </w:r>
    </w:p>
    <w:p w14:paraId="4B9E86BD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doprinos razvoju primjene prava intelektualnog vlasništva u relevantnim gospodarskim i društvenim sektorima radi jačanja inovacijskih i kreativnih djelatnosti te jačanja konkurentnosti relevantnih sektora; </w:t>
      </w:r>
    </w:p>
    <w:p w14:paraId="1BA3E4FE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održavanje i razvoj nacionalnih digitalnih registara industrijskog vlasništva te razvoj i održavanje pratećih nacionalnih i međunarodnih digitalnih servisa i e-usluga; </w:t>
      </w:r>
    </w:p>
    <w:p w14:paraId="7994A010" w14:textId="77777777" w:rsidR="00EB6311" w:rsidRPr="00EB6311" w:rsidRDefault="00EB6311" w:rsidP="00EB6311">
      <w:pPr>
        <w:pStyle w:val="ListParagraph"/>
        <w:numPr>
          <w:ilvl w:val="0"/>
          <w:numId w:val="13"/>
        </w:numPr>
        <w:jc w:val="both"/>
        <w:rPr>
          <w:rFonts w:cstheme="minorHAnsi"/>
        </w:rPr>
      </w:pPr>
      <w:r w:rsidRPr="00EB6311">
        <w:rPr>
          <w:rFonts w:cstheme="minorHAnsi"/>
        </w:rPr>
        <w:t>razvoj javnih informacijskih i stručnih usluga te potpore korisnicima sustava zaštite i primjene intelektualnog vlasništva u suradnji s drugim dionicima nacionalnog inovacijskog sustava i sektora kreativnih i kulturnih industrija.</w:t>
      </w:r>
    </w:p>
    <w:p w14:paraId="155D2270" w14:textId="77777777" w:rsidR="001F63EF" w:rsidRDefault="00BB70BF" w:rsidP="00562A9D">
      <w:pPr>
        <w:jc w:val="both"/>
        <w:rPr>
          <w:rFonts w:cstheme="minorHAnsi"/>
        </w:rPr>
      </w:pPr>
      <w:r w:rsidRPr="00EB6311">
        <w:rPr>
          <w:rFonts w:cstheme="minorHAnsi"/>
        </w:rPr>
        <w:t>Navedena djelatnost DZIV-a temelji se na obavljanju specijalističkih poslova za koje su nužni visokoobrazovani kadrovi sa specijalističkim znanjima iz različitih područja intelektualnog vlasništva te iz pojedinih područja tehnike i tehnologije, kao i  na potpornim složenim poslovnim informatičkim i komunikacijskim sustavima, s obzirom na međupovezanost nacionalnog sustava intelektualnog vlasništva s europskim i međunarodnim sustavom te rastući stupanj digitalizacije poslovanja gospodarstva, javne uprave te europskih i međunarodnih organizacija iz područja intelektualnog vlasništva. Iz tih razloga najveći dio planiranih ukupnih rashoda, osobito rashoda financiranih s izvora 11, odnosi se na rashode za zaposlene (skupina 31), dok najznačajnije materijalne rashode čine rashodi za održavanje i razvoj digitalnog poslovanja DZIV-a, koji se financiraju kako s izvora 11 tako i s izvora 43-</w:t>
      </w:r>
      <w:r w:rsidR="009119C3" w:rsidRPr="00EB6311">
        <w:rPr>
          <w:rFonts w:cstheme="minorHAnsi"/>
        </w:rPr>
        <w:t xml:space="preserve"> T</w:t>
      </w:r>
      <w:r w:rsidR="00EE33DC" w:rsidRPr="00EB6311">
        <w:rPr>
          <w:rFonts w:cstheme="minorHAnsi"/>
        </w:rPr>
        <w:t>.</w:t>
      </w:r>
    </w:p>
    <w:p w14:paraId="3CDADA3C" w14:textId="70DA82FC" w:rsidR="00BB70BF" w:rsidRPr="00EB6311" w:rsidRDefault="00BB70BF" w:rsidP="00562A9D">
      <w:pPr>
        <w:jc w:val="both"/>
        <w:rPr>
          <w:rFonts w:cstheme="minorHAnsi"/>
        </w:rPr>
      </w:pPr>
      <w:r w:rsidRPr="00EB6311">
        <w:rPr>
          <w:rFonts w:cstheme="minorHAnsi"/>
        </w:rPr>
        <w:lastRenderedPageBreak/>
        <w:t xml:space="preserve">Slijedom navedenog, od ukupnih planiranih rashoda financiranih </w:t>
      </w:r>
      <w:r w:rsidR="000060DD" w:rsidRPr="00EB6311">
        <w:rPr>
          <w:rFonts w:cstheme="minorHAnsi"/>
        </w:rPr>
        <w:t>s</w:t>
      </w:r>
      <w:r w:rsidRPr="00EB6311">
        <w:rPr>
          <w:rFonts w:cstheme="minorHAnsi"/>
        </w:rPr>
        <w:t xml:space="preserve"> izvora 11 za 2023. godinu, </w:t>
      </w:r>
      <w:r w:rsidR="00715262">
        <w:rPr>
          <w:rFonts w:cstheme="minorHAnsi"/>
        </w:rPr>
        <w:t xml:space="preserve">preko  </w:t>
      </w:r>
      <w:r w:rsidR="00786F87" w:rsidRPr="00EB6311">
        <w:rPr>
          <w:rFonts w:eastAsia="Times New Roman" w:cstheme="minorHAnsi"/>
          <w:szCs w:val="20"/>
        </w:rPr>
        <w:t>8</w:t>
      </w:r>
      <w:r w:rsidR="00715262">
        <w:rPr>
          <w:rFonts w:eastAsia="Times New Roman" w:cstheme="minorHAnsi"/>
          <w:szCs w:val="20"/>
        </w:rPr>
        <w:t>7</w:t>
      </w:r>
      <w:r w:rsidRPr="00EB6311">
        <w:rPr>
          <w:rFonts w:cstheme="minorHAnsi"/>
        </w:rPr>
        <w:t xml:space="preserve">% odnosi se na rashode za zaposlene (skupina 31), </w:t>
      </w:r>
      <w:r w:rsidR="006C74DD" w:rsidRPr="00EB6311">
        <w:rPr>
          <w:rFonts w:cstheme="minorHAnsi"/>
        </w:rPr>
        <w:t xml:space="preserve">nešto </w:t>
      </w:r>
      <w:r w:rsidR="00440AB2">
        <w:rPr>
          <w:rFonts w:cstheme="minorHAnsi"/>
        </w:rPr>
        <w:t>više</w:t>
      </w:r>
      <w:r w:rsidR="006C74DD" w:rsidRPr="00EB6311">
        <w:rPr>
          <w:rFonts w:cstheme="minorHAnsi"/>
        </w:rPr>
        <w:t xml:space="preserve"> od </w:t>
      </w:r>
      <w:r w:rsidR="004A05F6" w:rsidRPr="00EB6311">
        <w:rPr>
          <w:rFonts w:cstheme="minorHAnsi"/>
        </w:rPr>
        <w:t>1</w:t>
      </w:r>
      <w:r w:rsidR="00715262">
        <w:rPr>
          <w:rFonts w:cstheme="minorHAnsi"/>
        </w:rPr>
        <w:t>2</w:t>
      </w:r>
      <w:r w:rsidRPr="00EB6311">
        <w:rPr>
          <w:rFonts w:cstheme="minorHAnsi"/>
        </w:rPr>
        <w:t xml:space="preserve">% na materijalne rashode (skupina 32), </w:t>
      </w:r>
      <w:r w:rsidR="006C74DD" w:rsidRPr="00EB6311">
        <w:rPr>
          <w:rFonts w:cstheme="minorHAnsi"/>
        </w:rPr>
        <w:t xml:space="preserve">te </w:t>
      </w:r>
      <w:r w:rsidRPr="00EB6311">
        <w:rPr>
          <w:rFonts w:cstheme="minorHAnsi"/>
        </w:rPr>
        <w:t>0,</w:t>
      </w:r>
      <w:r w:rsidRPr="00EB6311">
        <w:rPr>
          <w:rFonts w:eastAsia="Times New Roman" w:cstheme="minorHAnsi"/>
          <w:szCs w:val="20"/>
        </w:rPr>
        <w:t>2</w:t>
      </w:r>
      <w:r w:rsidR="00715262">
        <w:rPr>
          <w:rFonts w:eastAsia="Times New Roman" w:cstheme="minorHAnsi"/>
          <w:szCs w:val="20"/>
        </w:rPr>
        <w:t>2</w:t>
      </w:r>
      <w:r w:rsidRPr="00EB6311">
        <w:rPr>
          <w:rFonts w:cstheme="minorHAnsi"/>
        </w:rPr>
        <w:t>% na financijske rashode</w:t>
      </w:r>
      <w:r w:rsidR="00EB6311" w:rsidRPr="00EB6311">
        <w:rPr>
          <w:rFonts w:cstheme="minorHAnsi"/>
        </w:rPr>
        <w:t xml:space="preserve"> i </w:t>
      </w:r>
      <w:r w:rsidRPr="00EB6311">
        <w:rPr>
          <w:rFonts w:cstheme="minorHAnsi"/>
        </w:rPr>
        <w:t>na rashode za nabavu nefinancijske imovine (skupin</w:t>
      </w:r>
      <w:r w:rsidR="00EA20A0" w:rsidRPr="00EB6311">
        <w:rPr>
          <w:rFonts w:cstheme="minorHAnsi"/>
        </w:rPr>
        <w:t>a</w:t>
      </w:r>
      <w:r w:rsidRPr="00EB6311">
        <w:rPr>
          <w:rFonts w:cstheme="minorHAnsi"/>
        </w:rPr>
        <w:t xml:space="preserve"> 34 i 42). </w:t>
      </w:r>
    </w:p>
    <w:p w14:paraId="32F2F6AE" w14:textId="7AA97C92" w:rsidR="00BB70BF" w:rsidRPr="00EB6311" w:rsidRDefault="008F35BF" w:rsidP="00FF2625">
      <w:pPr>
        <w:jc w:val="both"/>
        <w:rPr>
          <w:rFonts w:cstheme="minorHAnsi"/>
        </w:rPr>
      </w:pPr>
      <w:r>
        <w:rPr>
          <w:rFonts w:cstheme="minorHAnsi"/>
        </w:rPr>
        <w:t xml:space="preserve">Planirana sredstva </w:t>
      </w:r>
      <w:r w:rsidR="006B077E" w:rsidRPr="00EB6311">
        <w:rPr>
          <w:rFonts w:cstheme="minorHAnsi"/>
        </w:rPr>
        <w:t>za zaposlene</w:t>
      </w:r>
      <w:r w:rsidR="006B077E">
        <w:rPr>
          <w:rFonts w:cstheme="minorHAnsi"/>
        </w:rPr>
        <w:t xml:space="preserve"> za 2023.godinu </w:t>
      </w:r>
      <w:r>
        <w:rPr>
          <w:rFonts w:cstheme="minorHAnsi"/>
        </w:rPr>
        <w:t>odgovaraju sredstvima potrebnima za rashode za 9</w:t>
      </w:r>
      <w:r w:rsidR="00BA4976">
        <w:rPr>
          <w:rFonts w:cstheme="minorHAnsi"/>
        </w:rPr>
        <w:t>5</w:t>
      </w:r>
      <w:r>
        <w:rPr>
          <w:rFonts w:cstheme="minorHAnsi"/>
        </w:rPr>
        <w:t xml:space="preserve"> zaposlena (što odgovara popunjenosti radnih mjesta predviđenih propisima o unutarnjem ustrojstvu od 70%) za razinu prava državnih službenika na snazi u rujnu 2022. godine. </w:t>
      </w:r>
    </w:p>
    <w:p w14:paraId="2DEE5012" w14:textId="05FFEE4B" w:rsidR="00BB70BF" w:rsidRPr="00EB6311" w:rsidRDefault="00BB70BF" w:rsidP="00FF2625">
      <w:pPr>
        <w:jc w:val="both"/>
        <w:rPr>
          <w:rFonts w:cstheme="minorHAnsi"/>
        </w:rPr>
      </w:pPr>
      <w:r w:rsidRPr="00EB6311">
        <w:rPr>
          <w:rFonts w:cstheme="minorHAnsi"/>
        </w:rPr>
        <w:t>Rashodi  u skupini 42 (rashodi z</w:t>
      </w:r>
      <w:r w:rsidR="00EA20A0" w:rsidRPr="00EB6311">
        <w:rPr>
          <w:rFonts w:cstheme="minorHAnsi"/>
        </w:rPr>
        <w:t>a nabavu nefinancijske imovine)</w:t>
      </w:r>
      <w:r w:rsidRPr="00EB6311">
        <w:rPr>
          <w:rFonts w:cstheme="minorHAnsi"/>
        </w:rPr>
        <w:t>, u dijelu koji se odnosi na nabavu nove informatičke opreme, planiraju se u manjem iznosu nego u prethodnom planskom razdoblju s izvora 11, a većim dijelom su te aktivnosti  planirane na izvoru 43-T s obzirom na to da su u velikom dijelu uvjetovane međupovezanošću</w:t>
      </w:r>
      <w:r w:rsidR="001F63EF">
        <w:rPr>
          <w:rFonts w:cstheme="minorHAnsi"/>
        </w:rPr>
        <w:t xml:space="preserve"> </w:t>
      </w:r>
      <w:r w:rsidRPr="00EB6311">
        <w:rPr>
          <w:rFonts w:cstheme="minorHAnsi"/>
        </w:rPr>
        <w:t xml:space="preserve">nacionalnog sustava intelektualnog vlasništva s europskim i međunarodnim sustavom i odgovarajućim projektom suradnje. </w:t>
      </w:r>
    </w:p>
    <w:p w14:paraId="2A829ABB" w14:textId="589E26B8" w:rsidR="00BB70BF" w:rsidRPr="00EB6311" w:rsidRDefault="00BB70BF" w:rsidP="00FF2625">
      <w:pPr>
        <w:jc w:val="both"/>
        <w:rPr>
          <w:rFonts w:cstheme="minorHAnsi"/>
        </w:rPr>
      </w:pPr>
      <w:r w:rsidRPr="00EB6311">
        <w:rPr>
          <w:rFonts w:cstheme="minorHAnsi"/>
        </w:rPr>
        <w:t>U skupini 32 planirani su rashodi na približno jednakoj razini kao u prethodnom razdoblju a koji se u najvećem dijelu odnose na održavanje postojećih Microsoftovih licenci i nabavu dodatnih softverskih licenci za potrebe razvoja digitalnog poslovanja, na povećan opseg korištenja usluge ispisa putem uzimanja opreme u zakup (putem Središnjeg državnog ureda za središnju javnu nabavu) s obzirom na dotrajalost i zastarjelost te potreban otpis do sada korištenih vlastitih pisača nabavljenih prije uvođenja usluge ispisa,  te na povećane troškove komunikacijskog povezivanja i prijenosa podataka putem komunikacijske mreže javnih tijela HITRONet.</w:t>
      </w:r>
      <w:r w:rsidR="00571253" w:rsidRPr="00EB6311">
        <w:rPr>
          <w:rFonts w:cstheme="minorHAnsi"/>
        </w:rPr>
        <w:t xml:space="preserve"> </w:t>
      </w:r>
    </w:p>
    <w:p w14:paraId="44D2E311" w14:textId="77777777" w:rsidR="00571253" w:rsidRPr="00EB6311" w:rsidRDefault="00571253" w:rsidP="009919D6">
      <w:pPr>
        <w:ind w:firstLine="708"/>
        <w:jc w:val="both"/>
        <w:rPr>
          <w:rFonts w:cstheme="minorHAnsi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93"/>
        <w:gridCol w:w="1603"/>
        <w:gridCol w:w="1603"/>
        <w:gridCol w:w="1603"/>
        <w:gridCol w:w="1603"/>
        <w:gridCol w:w="1603"/>
        <w:gridCol w:w="698"/>
      </w:tblGrid>
      <w:tr w:rsidR="009A1A1A" w:rsidRPr="00EB6311" w14:paraId="2B4478DC" w14:textId="77777777" w:rsidTr="006357A5">
        <w:trPr>
          <w:jc w:val="center"/>
        </w:trPr>
        <w:tc>
          <w:tcPr>
            <w:tcW w:w="1530" w:type="dxa"/>
            <w:shd w:val="clear" w:color="auto" w:fill="B5C0D8"/>
          </w:tcPr>
          <w:p w14:paraId="695DE781" w14:textId="77777777" w:rsidR="0088128F" w:rsidRPr="00EB6311" w:rsidRDefault="0088128F" w:rsidP="00E018D6">
            <w:pPr>
              <w:jc w:val="both"/>
              <w:rPr>
                <w:rFonts w:asciiTheme="minorHAnsi" w:hAnsiTheme="minorHAnsi" w:cstheme="minorHAnsi"/>
              </w:rPr>
            </w:pPr>
          </w:p>
          <w:p w14:paraId="6F76C9C1" w14:textId="77777777" w:rsidR="00BB70BF" w:rsidRPr="00EB6311" w:rsidRDefault="00BB70BF" w:rsidP="007F610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  <w:shd w:val="clear" w:color="auto" w:fill="B5C0D8"/>
          </w:tcPr>
          <w:p w14:paraId="3B26D871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Izvršenje 2021.</w:t>
            </w:r>
          </w:p>
        </w:tc>
        <w:tc>
          <w:tcPr>
            <w:tcW w:w="1632" w:type="dxa"/>
            <w:shd w:val="clear" w:color="auto" w:fill="B5C0D8"/>
          </w:tcPr>
          <w:p w14:paraId="5C4A2D1B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2022.</w:t>
            </w:r>
          </w:p>
        </w:tc>
        <w:tc>
          <w:tcPr>
            <w:tcW w:w="1632" w:type="dxa"/>
            <w:shd w:val="clear" w:color="auto" w:fill="B5C0D8"/>
          </w:tcPr>
          <w:p w14:paraId="24B15EA5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4388A0C1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6B8BEA85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2025.</w:t>
            </w:r>
          </w:p>
        </w:tc>
        <w:tc>
          <w:tcPr>
            <w:tcW w:w="510" w:type="dxa"/>
            <w:shd w:val="clear" w:color="auto" w:fill="B5C0D8"/>
          </w:tcPr>
          <w:p w14:paraId="71B0EB6C" w14:textId="6014814D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 xml:space="preserve">Indeks </w:t>
            </w:r>
            <w:r w:rsidR="0088128F" w:rsidRPr="00EB6311">
              <w:rPr>
                <w:rFonts w:asciiTheme="minorHAnsi" w:hAnsiTheme="minorHAnsi" w:cstheme="minorHAnsi"/>
              </w:rPr>
              <w:t>2</w:t>
            </w:r>
            <w:r w:rsidR="00375127" w:rsidRPr="00EB6311">
              <w:rPr>
                <w:rFonts w:asciiTheme="minorHAnsi" w:hAnsiTheme="minorHAnsi" w:cstheme="minorHAnsi"/>
              </w:rPr>
              <w:t>3</w:t>
            </w:r>
            <w:r w:rsidR="0088128F" w:rsidRPr="00EB6311">
              <w:rPr>
                <w:rFonts w:asciiTheme="minorHAnsi" w:hAnsiTheme="minorHAnsi" w:cstheme="minorHAnsi"/>
              </w:rPr>
              <w:t>./2</w:t>
            </w:r>
            <w:r w:rsidR="00375127" w:rsidRPr="00EB6311">
              <w:rPr>
                <w:rFonts w:asciiTheme="minorHAnsi" w:hAnsiTheme="minorHAnsi" w:cstheme="minorHAnsi"/>
              </w:rPr>
              <w:t>2</w:t>
            </w:r>
            <w:r w:rsidR="0088128F" w:rsidRPr="00EB6311">
              <w:rPr>
                <w:rFonts w:asciiTheme="minorHAnsi" w:hAnsiTheme="minorHAnsi" w:cstheme="minorHAnsi"/>
              </w:rPr>
              <w:t>.</w:t>
            </w:r>
          </w:p>
        </w:tc>
      </w:tr>
      <w:tr w:rsidR="007F610C" w:rsidRPr="00EB6311" w14:paraId="04A085D4" w14:textId="77777777" w:rsidTr="006357A5">
        <w:trPr>
          <w:jc w:val="center"/>
        </w:trPr>
        <w:tc>
          <w:tcPr>
            <w:tcW w:w="1530" w:type="dxa"/>
          </w:tcPr>
          <w:p w14:paraId="7CDD55AD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08012</w:t>
            </w:r>
          </w:p>
        </w:tc>
        <w:tc>
          <w:tcPr>
            <w:tcW w:w="1632" w:type="dxa"/>
          </w:tcPr>
          <w:p w14:paraId="522CD22C" w14:textId="08EEE58C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2.590.985</w:t>
            </w:r>
          </w:p>
        </w:tc>
        <w:tc>
          <w:tcPr>
            <w:tcW w:w="1632" w:type="dxa"/>
          </w:tcPr>
          <w:p w14:paraId="1C87B36F" w14:textId="52014205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3.170.366</w:t>
            </w:r>
          </w:p>
        </w:tc>
        <w:tc>
          <w:tcPr>
            <w:tcW w:w="1632" w:type="dxa"/>
          </w:tcPr>
          <w:p w14:paraId="1CFB6DD0" w14:textId="207C5C05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3.780.322</w:t>
            </w:r>
          </w:p>
        </w:tc>
        <w:tc>
          <w:tcPr>
            <w:tcW w:w="1632" w:type="dxa"/>
          </w:tcPr>
          <w:p w14:paraId="74B078C9" w14:textId="394B254D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3.924.017</w:t>
            </w:r>
          </w:p>
        </w:tc>
        <w:tc>
          <w:tcPr>
            <w:tcW w:w="1632" w:type="dxa"/>
          </w:tcPr>
          <w:p w14:paraId="3116A803" w14:textId="450F1C65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4.093.066</w:t>
            </w:r>
          </w:p>
        </w:tc>
        <w:tc>
          <w:tcPr>
            <w:tcW w:w="510" w:type="dxa"/>
          </w:tcPr>
          <w:p w14:paraId="4D3851A2" w14:textId="19287C60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119,2</w:t>
            </w:r>
          </w:p>
        </w:tc>
      </w:tr>
    </w:tbl>
    <w:p w14:paraId="1D3ABE8E" w14:textId="77777777" w:rsidR="00BB70BF" w:rsidRPr="00EB6311" w:rsidRDefault="00BB70BF" w:rsidP="007F610C">
      <w:pPr>
        <w:jc w:val="both"/>
        <w:rPr>
          <w:rFonts w:cstheme="minorHAnsi"/>
        </w:rPr>
      </w:pPr>
    </w:p>
    <w:p w14:paraId="2530F1B6" w14:textId="77777777" w:rsidR="000060DD" w:rsidRPr="00EB6311" w:rsidRDefault="000060DD" w:rsidP="00F51C89">
      <w:pPr>
        <w:jc w:val="both"/>
        <w:rPr>
          <w:rFonts w:cstheme="minorHAnsi"/>
        </w:rPr>
      </w:pPr>
    </w:p>
    <w:p w14:paraId="61B58910" w14:textId="77777777" w:rsidR="00021B5C" w:rsidRPr="00EB6311" w:rsidRDefault="00021B5C" w:rsidP="00F51C89">
      <w:pPr>
        <w:jc w:val="both"/>
        <w:rPr>
          <w:rFonts w:cstheme="minorHAnsi"/>
        </w:rPr>
      </w:pPr>
    </w:p>
    <w:p w14:paraId="71AD0B53" w14:textId="77777777" w:rsidR="00BB70BF" w:rsidRPr="00EB6311" w:rsidRDefault="00BB70BF" w:rsidP="007F610C">
      <w:pPr>
        <w:pStyle w:val="Heading3"/>
        <w:rPr>
          <w:rFonts w:asciiTheme="minorHAnsi" w:hAnsiTheme="minorHAnsi" w:cstheme="minorHAnsi"/>
          <w:lang w:val="hr-HR"/>
        </w:rPr>
      </w:pPr>
      <w:r w:rsidRPr="00EB6311">
        <w:rPr>
          <w:rFonts w:asciiTheme="minorHAnsi" w:hAnsiTheme="minorHAnsi" w:cstheme="minorHAnsi"/>
          <w:lang w:val="hr-HR"/>
        </w:rPr>
        <w:t>3801 ULAGANJE U ZNANSTVENO ISTRAŽIVAČKU DJELATNOST</w:t>
      </w:r>
    </w:p>
    <w:p w14:paraId="0C5822A0" w14:textId="77777777" w:rsidR="00021B5C" w:rsidRPr="00EB6311" w:rsidRDefault="00021B5C" w:rsidP="00F815A6">
      <w:pPr>
        <w:jc w:val="both"/>
        <w:rPr>
          <w:rFonts w:cstheme="minorHAnsi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500"/>
        <w:gridCol w:w="1608"/>
        <w:gridCol w:w="1600"/>
        <w:gridCol w:w="1600"/>
        <w:gridCol w:w="1600"/>
        <w:gridCol w:w="1600"/>
        <w:gridCol w:w="698"/>
      </w:tblGrid>
      <w:tr w:rsidR="009A1A1A" w:rsidRPr="00EB6311" w14:paraId="455B58AF" w14:textId="77777777" w:rsidTr="00073ED9">
        <w:trPr>
          <w:jc w:val="center"/>
        </w:trPr>
        <w:tc>
          <w:tcPr>
            <w:tcW w:w="1500" w:type="dxa"/>
            <w:shd w:val="clear" w:color="auto" w:fill="B5C0D8"/>
          </w:tcPr>
          <w:p w14:paraId="2C35189C" w14:textId="77777777" w:rsidR="00A70138" w:rsidRPr="00EB6311" w:rsidRDefault="00A70138" w:rsidP="00E018D6">
            <w:pPr>
              <w:jc w:val="both"/>
              <w:rPr>
                <w:rFonts w:asciiTheme="minorHAnsi" w:hAnsiTheme="minorHAnsi" w:cstheme="minorHAnsi"/>
              </w:rPr>
            </w:pPr>
          </w:p>
          <w:p w14:paraId="169862C5" w14:textId="77777777" w:rsidR="00BB70BF" w:rsidRPr="00EB6311" w:rsidRDefault="00BB70BF" w:rsidP="007F610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shd w:val="clear" w:color="auto" w:fill="B5C0D8"/>
          </w:tcPr>
          <w:p w14:paraId="6F11DD88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Izvršenje 2021.</w:t>
            </w:r>
          </w:p>
        </w:tc>
        <w:tc>
          <w:tcPr>
            <w:tcW w:w="1600" w:type="dxa"/>
            <w:shd w:val="clear" w:color="auto" w:fill="B5C0D8"/>
          </w:tcPr>
          <w:p w14:paraId="1B6C8C91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2022.</w:t>
            </w:r>
          </w:p>
        </w:tc>
        <w:tc>
          <w:tcPr>
            <w:tcW w:w="1600" w:type="dxa"/>
            <w:shd w:val="clear" w:color="auto" w:fill="B5C0D8"/>
          </w:tcPr>
          <w:p w14:paraId="2E59485B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2023.</w:t>
            </w:r>
          </w:p>
        </w:tc>
        <w:tc>
          <w:tcPr>
            <w:tcW w:w="1600" w:type="dxa"/>
            <w:shd w:val="clear" w:color="auto" w:fill="B5C0D8"/>
          </w:tcPr>
          <w:p w14:paraId="32398EF2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2024.</w:t>
            </w:r>
          </w:p>
        </w:tc>
        <w:tc>
          <w:tcPr>
            <w:tcW w:w="1600" w:type="dxa"/>
            <w:shd w:val="clear" w:color="auto" w:fill="B5C0D8"/>
          </w:tcPr>
          <w:p w14:paraId="652DA31E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2025.</w:t>
            </w:r>
          </w:p>
        </w:tc>
        <w:tc>
          <w:tcPr>
            <w:tcW w:w="698" w:type="dxa"/>
            <w:shd w:val="clear" w:color="auto" w:fill="B5C0D8"/>
          </w:tcPr>
          <w:p w14:paraId="22D7A17F" w14:textId="04098079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 xml:space="preserve">Indeks </w:t>
            </w:r>
            <w:r w:rsidR="00A70138" w:rsidRPr="00EB6311">
              <w:rPr>
                <w:rFonts w:asciiTheme="minorHAnsi" w:hAnsiTheme="minorHAnsi" w:cstheme="minorHAnsi"/>
              </w:rPr>
              <w:t>2</w:t>
            </w:r>
            <w:r w:rsidR="003B0C88" w:rsidRPr="00EB6311">
              <w:rPr>
                <w:rFonts w:asciiTheme="minorHAnsi" w:hAnsiTheme="minorHAnsi" w:cstheme="minorHAnsi"/>
              </w:rPr>
              <w:t>3</w:t>
            </w:r>
            <w:r w:rsidR="00A70138" w:rsidRPr="00EB6311">
              <w:rPr>
                <w:rFonts w:asciiTheme="minorHAnsi" w:hAnsiTheme="minorHAnsi" w:cstheme="minorHAnsi"/>
              </w:rPr>
              <w:t>./2</w:t>
            </w:r>
            <w:r w:rsidR="003B0C88" w:rsidRPr="00EB6311">
              <w:rPr>
                <w:rFonts w:asciiTheme="minorHAnsi" w:hAnsiTheme="minorHAnsi" w:cstheme="minorHAnsi"/>
              </w:rPr>
              <w:t>2</w:t>
            </w:r>
            <w:r w:rsidR="00A70138" w:rsidRPr="00EB6311">
              <w:rPr>
                <w:rFonts w:asciiTheme="minorHAnsi" w:hAnsiTheme="minorHAnsi" w:cstheme="minorHAnsi"/>
              </w:rPr>
              <w:t>.</w:t>
            </w:r>
          </w:p>
        </w:tc>
      </w:tr>
      <w:tr w:rsidR="00073ED9" w:rsidRPr="00EB6311" w14:paraId="74651893" w14:textId="77777777" w:rsidTr="00073ED9">
        <w:trPr>
          <w:jc w:val="center"/>
        </w:trPr>
        <w:tc>
          <w:tcPr>
            <w:tcW w:w="1500" w:type="dxa"/>
          </w:tcPr>
          <w:p w14:paraId="5C65F95B" w14:textId="77777777" w:rsidR="00073ED9" w:rsidRPr="00EB6311" w:rsidRDefault="00073ED9" w:rsidP="00073ED9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3801</w:t>
            </w:r>
          </w:p>
        </w:tc>
        <w:tc>
          <w:tcPr>
            <w:tcW w:w="1608" w:type="dxa"/>
          </w:tcPr>
          <w:p w14:paraId="4F1BF259" w14:textId="7BA41D1B" w:rsidR="00073ED9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2.590.985</w:t>
            </w:r>
          </w:p>
        </w:tc>
        <w:tc>
          <w:tcPr>
            <w:tcW w:w="1600" w:type="dxa"/>
          </w:tcPr>
          <w:p w14:paraId="7E2D1572" w14:textId="61FD8606" w:rsidR="00073ED9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3.170.366</w:t>
            </w:r>
          </w:p>
        </w:tc>
        <w:tc>
          <w:tcPr>
            <w:tcW w:w="1600" w:type="dxa"/>
          </w:tcPr>
          <w:p w14:paraId="229CC3CE" w14:textId="560B7FB3" w:rsidR="00073ED9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3.780.322</w:t>
            </w:r>
          </w:p>
        </w:tc>
        <w:tc>
          <w:tcPr>
            <w:tcW w:w="1600" w:type="dxa"/>
          </w:tcPr>
          <w:p w14:paraId="73108662" w14:textId="122EE8F8" w:rsidR="00073ED9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3.924.017</w:t>
            </w:r>
          </w:p>
        </w:tc>
        <w:tc>
          <w:tcPr>
            <w:tcW w:w="1600" w:type="dxa"/>
          </w:tcPr>
          <w:p w14:paraId="5C00418E" w14:textId="2CAC3DFF" w:rsidR="00073ED9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4.093.066</w:t>
            </w:r>
          </w:p>
        </w:tc>
        <w:tc>
          <w:tcPr>
            <w:tcW w:w="698" w:type="dxa"/>
          </w:tcPr>
          <w:p w14:paraId="10DFCA6B" w14:textId="66D3398C" w:rsidR="00073ED9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119,2</w:t>
            </w:r>
          </w:p>
        </w:tc>
      </w:tr>
    </w:tbl>
    <w:p w14:paraId="16DA3C40" w14:textId="77777777" w:rsidR="00BB70BF" w:rsidRPr="00EB6311" w:rsidRDefault="00BB70BF" w:rsidP="00EA20A0">
      <w:pPr>
        <w:pStyle w:val="Heading8"/>
        <w:rPr>
          <w:rFonts w:asciiTheme="minorHAnsi" w:hAnsiTheme="minorHAnsi" w:cstheme="minorHAnsi"/>
          <w:b/>
        </w:rPr>
      </w:pPr>
      <w:r w:rsidRPr="00EB6311">
        <w:rPr>
          <w:rFonts w:asciiTheme="minorHAnsi" w:hAnsiTheme="minorHAnsi" w:cstheme="minorHAnsi"/>
          <w:b/>
        </w:rPr>
        <w:t>Cilj 1. Povećati kvalitetu i učinkovitost sustava zaštite prava industrijskog vlasništva</w:t>
      </w:r>
    </w:p>
    <w:p w14:paraId="4D461B98" w14:textId="77777777" w:rsidR="00BB70BF" w:rsidRPr="00EB6311" w:rsidRDefault="00BB70BF" w:rsidP="00EA20A0">
      <w:pPr>
        <w:pStyle w:val="Heading8"/>
        <w:rPr>
          <w:rFonts w:asciiTheme="minorHAnsi" w:hAnsiTheme="minorHAnsi" w:cstheme="minorHAnsi"/>
          <w:b/>
        </w:rPr>
      </w:pPr>
      <w:r w:rsidRPr="00EB6311">
        <w:rPr>
          <w:rFonts w:asciiTheme="minorHAnsi" w:hAnsiTheme="minorHAnsi" w:cstheme="minorHAnsi"/>
          <w:b/>
        </w:rPr>
        <w:t>Cilj 2. Povećati kvalitetu i učinkovitost sustava zaštite autorskih i srodnih prava</w:t>
      </w:r>
    </w:p>
    <w:p w14:paraId="159D86D7" w14:textId="1C91C769" w:rsidR="00BB70BF" w:rsidRPr="00EB6311" w:rsidRDefault="00BB70BF" w:rsidP="00EA20A0">
      <w:pPr>
        <w:pStyle w:val="Heading8"/>
        <w:rPr>
          <w:rFonts w:asciiTheme="minorHAnsi" w:hAnsiTheme="minorHAnsi" w:cstheme="minorHAnsi"/>
          <w:b/>
        </w:rPr>
      </w:pPr>
      <w:r w:rsidRPr="00EB6311">
        <w:rPr>
          <w:rFonts w:asciiTheme="minorHAnsi" w:hAnsiTheme="minorHAnsi" w:cstheme="minorHAnsi"/>
          <w:b/>
        </w:rPr>
        <w:t>Cilj 3. Povećati učinkovitost sustava provedbe prava intelektualnog vlasništva</w:t>
      </w:r>
    </w:p>
    <w:p w14:paraId="574A99CE" w14:textId="77777777" w:rsidR="00BB70BF" w:rsidRPr="00EB6311" w:rsidRDefault="00BB70BF" w:rsidP="00EA20A0">
      <w:pPr>
        <w:pStyle w:val="Heading8"/>
        <w:rPr>
          <w:rFonts w:asciiTheme="minorHAnsi" w:hAnsiTheme="minorHAnsi" w:cstheme="minorHAnsi"/>
          <w:b/>
        </w:rPr>
      </w:pPr>
      <w:r w:rsidRPr="00EB6311">
        <w:rPr>
          <w:rFonts w:asciiTheme="minorHAnsi" w:hAnsiTheme="minorHAnsi" w:cstheme="minorHAnsi"/>
          <w:b/>
        </w:rPr>
        <w:t>Cilj 4. Povećati stupanj korištenja sustava zaštite intelektualnog vlasništva od strane domaćih subjekata</w:t>
      </w:r>
    </w:p>
    <w:p w14:paraId="33626A57" w14:textId="77777777" w:rsidR="00021B5C" w:rsidRPr="00EB6311" w:rsidRDefault="00021B5C" w:rsidP="00021B5C">
      <w:pPr>
        <w:rPr>
          <w:rFonts w:cstheme="minorHAnsi"/>
          <w:b/>
        </w:rPr>
      </w:pPr>
    </w:p>
    <w:p w14:paraId="63FB5A69" w14:textId="77777777" w:rsidR="00BB70BF" w:rsidRPr="00EB6311" w:rsidRDefault="00BB70BF" w:rsidP="00EA20A0">
      <w:pPr>
        <w:pStyle w:val="Heading8"/>
        <w:rPr>
          <w:rFonts w:asciiTheme="minorHAnsi" w:hAnsiTheme="minorHAnsi" w:cstheme="minorHAnsi"/>
          <w:b/>
        </w:rPr>
      </w:pPr>
      <w:r w:rsidRPr="00EB6311">
        <w:rPr>
          <w:rFonts w:asciiTheme="minorHAnsi" w:hAnsiTheme="minorHAnsi" w:cstheme="minorHAnsi"/>
          <w:b/>
        </w:rPr>
        <w:lastRenderedPageBreak/>
        <w:t>Pokazatelji učinka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129"/>
        <w:gridCol w:w="2155"/>
        <w:gridCol w:w="1043"/>
        <w:gridCol w:w="1102"/>
        <w:gridCol w:w="990"/>
        <w:gridCol w:w="929"/>
        <w:gridCol w:w="929"/>
        <w:gridCol w:w="929"/>
      </w:tblGrid>
      <w:tr w:rsidR="009A1A1A" w:rsidRPr="00EB6311" w14:paraId="3A870019" w14:textId="77777777" w:rsidTr="006357A5">
        <w:trPr>
          <w:jc w:val="center"/>
        </w:trPr>
        <w:tc>
          <w:tcPr>
            <w:tcW w:w="2162" w:type="dxa"/>
            <w:shd w:val="clear" w:color="auto" w:fill="B5C0D8"/>
          </w:tcPr>
          <w:p w14:paraId="3CC86189" w14:textId="77777777" w:rsidR="00BB70BF" w:rsidRPr="00EB6311" w:rsidRDefault="00BB70BF" w:rsidP="00EA20A0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Pokazatelj učinka</w:t>
            </w:r>
          </w:p>
        </w:tc>
        <w:tc>
          <w:tcPr>
            <w:tcW w:w="2181" w:type="dxa"/>
            <w:shd w:val="clear" w:color="auto" w:fill="B5C0D8"/>
          </w:tcPr>
          <w:p w14:paraId="6E52941E" w14:textId="77777777" w:rsidR="00BB70BF" w:rsidRPr="00EB6311" w:rsidRDefault="00BB70BF" w:rsidP="00EA20A0">
            <w:pPr>
              <w:pStyle w:val="CellHeader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Definicija</w:t>
            </w:r>
          </w:p>
        </w:tc>
        <w:tc>
          <w:tcPr>
            <w:tcW w:w="1025" w:type="dxa"/>
            <w:shd w:val="clear" w:color="auto" w:fill="B5C0D8"/>
          </w:tcPr>
          <w:p w14:paraId="71092A72" w14:textId="77777777" w:rsidR="00BB70BF" w:rsidRPr="00EB6311" w:rsidRDefault="00BB70BF" w:rsidP="00EA20A0">
            <w:pPr>
              <w:pStyle w:val="CellHeader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Jedinica</w:t>
            </w:r>
          </w:p>
        </w:tc>
        <w:tc>
          <w:tcPr>
            <w:tcW w:w="1103" w:type="dxa"/>
            <w:shd w:val="clear" w:color="auto" w:fill="B5C0D8"/>
          </w:tcPr>
          <w:p w14:paraId="07AE58D2" w14:textId="77777777" w:rsidR="00BB70BF" w:rsidRPr="00EB6311" w:rsidRDefault="00BB70BF" w:rsidP="00EA20A0">
            <w:pPr>
              <w:pStyle w:val="CellHeader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Polazna vrijednost</w:t>
            </w:r>
          </w:p>
        </w:tc>
        <w:tc>
          <w:tcPr>
            <w:tcW w:w="981" w:type="dxa"/>
            <w:shd w:val="clear" w:color="auto" w:fill="B5C0D8"/>
          </w:tcPr>
          <w:p w14:paraId="46921813" w14:textId="77777777" w:rsidR="00BB70BF" w:rsidRPr="00EB6311" w:rsidRDefault="00BB70BF" w:rsidP="00EA20A0">
            <w:pPr>
              <w:pStyle w:val="CellHeader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6DB27C0C" w14:textId="77777777" w:rsidR="00BB70BF" w:rsidRPr="00EB6311" w:rsidRDefault="00BB70BF" w:rsidP="00EA20A0">
            <w:pPr>
              <w:pStyle w:val="CellHeader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Ciljana vrijednost (2023.)</w:t>
            </w:r>
          </w:p>
        </w:tc>
        <w:tc>
          <w:tcPr>
            <w:tcW w:w="918" w:type="dxa"/>
            <w:shd w:val="clear" w:color="auto" w:fill="B5C0D8"/>
          </w:tcPr>
          <w:p w14:paraId="734DCED1" w14:textId="77777777" w:rsidR="00BB70BF" w:rsidRPr="00EB6311" w:rsidRDefault="00BB70BF" w:rsidP="00EA20A0">
            <w:pPr>
              <w:pStyle w:val="CellHeader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Ciljana vrijednost (2024.)</w:t>
            </w:r>
          </w:p>
        </w:tc>
        <w:tc>
          <w:tcPr>
            <w:tcW w:w="918" w:type="dxa"/>
            <w:shd w:val="clear" w:color="auto" w:fill="B5C0D8"/>
          </w:tcPr>
          <w:p w14:paraId="0B042EE0" w14:textId="77777777" w:rsidR="00BB70BF" w:rsidRPr="00EB6311" w:rsidRDefault="00BB70BF" w:rsidP="00EA20A0">
            <w:pPr>
              <w:pStyle w:val="CellHeader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Ciljana vrijednost (2025.)</w:t>
            </w:r>
          </w:p>
        </w:tc>
      </w:tr>
      <w:tr w:rsidR="009A1A1A" w:rsidRPr="00EB6311" w14:paraId="1CD270AF" w14:textId="77777777" w:rsidTr="006357A5">
        <w:trPr>
          <w:jc w:val="center"/>
        </w:trPr>
        <w:tc>
          <w:tcPr>
            <w:tcW w:w="2162" w:type="dxa"/>
          </w:tcPr>
          <w:p w14:paraId="61964958" w14:textId="77777777" w:rsidR="00623CB3" w:rsidRPr="00EB6311" w:rsidRDefault="00BB70BF" w:rsidP="00E018D6">
            <w:pPr>
              <w:pStyle w:val="CellColumn"/>
              <w:jc w:val="left"/>
              <w:rPr>
                <w:rFonts w:asciiTheme="minorHAnsi" w:hAnsiTheme="minorHAnsi" w:cstheme="minorHAnsi"/>
                <w:szCs w:val="20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Povećanje broja prijava industrijskog vlasništva u nacionalnom postupku (ukupno)</w:t>
            </w:r>
          </w:p>
          <w:p w14:paraId="5D88A895" w14:textId="77777777" w:rsidR="00623CB3" w:rsidRPr="00EB6311" w:rsidRDefault="00623CB3" w:rsidP="00E018D6">
            <w:pPr>
              <w:pStyle w:val="CellColumn"/>
              <w:jc w:val="left"/>
              <w:rPr>
                <w:rFonts w:asciiTheme="minorHAnsi" w:hAnsiTheme="minorHAnsi" w:cstheme="minorHAnsi"/>
                <w:szCs w:val="20"/>
                <w:lang w:val="hr-HR"/>
              </w:rPr>
            </w:pPr>
          </w:p>
          <w:p w14:paraId="681B85D0" w14:textId="77777777" w:rsidR="00BB70BF" w:rsidRPr="00EB6311" w:rsidRDefault="00BB70BF" w:rsidP="007F610C">
            <w:pPr>
              <w:pStyle w:val="CellColumn"/>
              <w:jc w:val="left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2181" w:type="dxa"/>
          </w:tcPr>
          <w:p w14:paraId="02E96863" w14:textId="77777777" w:rsidR="00BB70BF" w:rsidRPr="00EB6311" w:rsidRDefault="00BB70BF" w:rsidP="007F610C">
            <w:pPr>
              <w:pStyle w:val="CellColumn"/>
              <w:jc w:val="left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Ukupni broj prijava za zaštitu patenata (nacionalne prijave, PCT prijave – nacionalna faza), žiga (nacionalne prijave) i industrijskog dizajna (nacionalne prijave) – ne uključuje prijave za jedinstvenu zaštitu na ukupnom teritoriju Europske unije (žig i registrirani dizajn Europske unije)</w:t>
            </w:r>
          </w:p>
        </w:tc>
        <w:tc>
          <w:tcPr>
            <w:tcW w:w="1025" w:type="dxa"/>
          </w:tcPr>
          <w:p w14:paraId="4F56600D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%</w:t>
            </w:r>
          </w:p>
        </w:tc>
        <w:tc>
          <w:tcPr>
            <w:tcW w:w="1103" w:type="dxa"/>
          </w:tcPr>
          <w:p w14:paraId="3FAFB482" w14:textId="77777777" w:rsidR="00BB70BF" w:rsidRPr="00EB6311" w:rsidRDefault="00BB70BF" w:rsidP="007F610C">
            <w:pPr>
              <w:spacing w:after="160" w:line="259" w:lineRule="auto"/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1752 (2021.)</w:t>
            </w:r>
          </w:p>
        </w:tc>
        <w:tc>
          <w:tcPr>
            <w:tcW w:w="981" w:type="dxa"/>
          </w:tcPr>
          <w:p w14:paraId="5EB84062" w14:textId="77777777" w:rsidR="00021B5C" w:rsidRPr="00EB6311" w:rsidRDefault="00BB70BF" w:rsidP="00E018D6">
            <w:pPr>
              <w:pStyle w:val="CellColumn"/>
              <w:jc w:val="center"/>
              <w:rPr>
                <w:rFonts w:asciiTheme="minorHAnsi" w:hAnsiTheme="minorHAnsi" w:cstheme="minorHAnsi"/>
                <w:szCs w:val="20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DZIV</w:t>
            </w:r>
          </w:p>
          <w:p w14:paraId="52ACAB47" w14:textId="77777777" w:rsidR="00BB70BF" w:rsidRPr="00EB6311" w:rsidRDefault="00BB70BF" w:rsidP="007F610C">
            <w:pPr>
              <w:pStyle w:val="CellColumn"/>
              <w:jc w:val="center"/>
              <w:rPr>
                <w:rFonts w:asciiTheme="minorHAnsi" w:hAnsiTheme="minorHAnsi" w:cstheme="minorHAnsi"/>
                <w:lang w:val="hr-HR"/>
              </w:rPr>
            </w:pPr>
          </w:p>
        </w:tc>
        <w:tc>
          <w:tcPr>
            <w:tcW w:w="918" w:type="dxa"/>
          </w:tcPr>
          <w:p w14:paraId="4533AAA5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1%</w:t>
            </w:r>
          </w:p>
        </w:tc>
        <w:tc>
          <w:tcPr>
            <w:tcW w:w="918" w:type="dxa"/>
          </w:tcPr>
          <w:p w14:paraId="6A264C56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2%</w:t>
            </w:r>
          </w:p>
        </w:tc>
        <w:tc>
          <w:tcPr>
            <w:tcW w:w="918" w:type="dxa"/>
          </w:tcPr>
          <w:p w14:paraId="5A4B7B9F" w14:textId="5D8ACACA" w:rsidR="00BB70BF" w:rsidRPr="00EB6311" w:rsidRDefault="00623CB3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  <w:szCs w:val="20"/>
              </w:rPr>
              <w:t>3</w:t>
            </w:r>
            <w:r w:rsidR="00021B5C" w:rsidRPr="00EB6311">
              <w:rPr>
                <w:rFonts w:asciiTheme="minorHAnsi" w:hAnsiTheme="minorHAnsi" w:cstheme="minorHAnsi"/>
                <w:szCs w:val="20"/>
              </w:rPr>
              <w:t>%</w:t>
            </w:r>
          </w:p>
        </w:tc>
      </w:tr>
      <w:tr w:rsidR="009A1A1A" w:rsidRPr="00EB6311" w14:paraId="180024A4" w14:textId="77777777" w:rsidTr="006357A5">
        <w:trPr>
          <w:jc w:val="center"/>
        </w:trPr>
        <w:tc>
          <w:tcPr>
            <w:tcW w:w="2162" w:type="dxa"/>
          </w:tcPr>
          <w:p w14:paraId="5039AEF5" w14:textId="77777777" w:rsidR="00BB70BF" w:rsidRPr="00EB6311" w:rsidRDefault="00BB70BF" w:rsidP="007F610C">
            <w:pPr>
              <w:pStyle w:val="CellColumn"/>
              <w:jc w:val="left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Povećanje vrijednosti Globalnog inovacijskog indeksa Hrvatske u kategorijama rezultata inovacijskih i kreativnih  djelatnosti koji uključuju prava intelektualnog vlasništva (zbroj vrijednosti paremetara)</w:t>
            </w:r>
          </w:p>
        </w:tc>
        <w:tc>
          <w:tcPr>
            <w:tcW w:w="2181" w:type="dxa"/>
          </w:tcPr>
          <w:p w14:paraId="4FF9CE7C" w14:textId="110FE07D" w:rsidR="00BB70BF" w:rsidRPr="00EB6311" w:rsidRDefault="00BB70BF" w:rsidP="007F610C">
            <w:pPr>
              <w:pStyle w:val="CellColumn"/>
              <w:jc w:val="left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-</w:t>
            </w:r>
            <w:r w:rsidRPr="00EB6311">
              <w:rPr>
                <w:rFonts w:asciiTheme="minorHAnsi" w:hAnsiTheme="minorHAnsi" w:cstheme="minorHAnsi"/>
                <w:lang w:val="hr-HR"/>
              </w:rPr>
              <w:tab/>
              <w:t xml:space="preserve">Rezultati u području znanja i tehnologije (Knowledge and technology outputs) </w:t>
            </w:r>
          </w:p>
          <w:p w14:paraId="3D7350F3" w14:textId="77777777" w:rsidR="00BB70BF" w:rsidRPr="00EB6311" w:rsidRDefault="00BB70BF" w:rsidP="007F610C">
            <w:pPr>
              <w:pStyle w:val="CellColumn"/>
              <w:jc w:val="left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-</w:t>
            </w:r>
            <w:r w:rsidRPr="00EB6311">
              <w:rPr>
                <w:rFonts w:asciiTheme="minorHAnsi" w:hAnsiTheme="minorHAnsi" w:cstheme="minorHAnsi"/>
                <w:lang w:val="hr-HR"/>
              </w:rPr>
              <w:tab/>
              <w:t>Rezultati u području kreativnih djelatnosti (Cretaive outputs)</w:t>
            </w:r>
          </w:p>
        </w:tc>
        <w:tc>
          <w:tcPr>
            <w:tcW w:w="1025" w:type="dxa"/>
          </w:tcPr>
          <w:p w14:paraId="0BF55552" w14:textId="30928365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 xml:space="preserve">Vrijednost </w:t>
            </w:r>
            <w:r w:rsidR="00021B5C" w:rsidRPr="00EB6311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EB6311">
              <w:rPr>
                <w:rFonts w:asciiTheme="minorHAnsi" w:hAnsiTheme="minorHAnsi" w:cstheme="minorHAnsi"/>
              </w:rPr>
              <w:t>pokazatelja</w:t>
            </w:r>
          </w:p>
        </w:tc>
        <w:tc>
          <w:tcPr>
            <w:tcW w:w="1103" w:type="dxa"/>
            <w:shd w:val="clear" w:color="auto" w:fill="auto"/>
          </w:tcPr>
          <w:p w14:paraId="5DD6D280" w14:textId="1790AB4E" w:rsidR="00BB70BF" w:rsidRPr="00EB6311" w:rsidRDefault="00021B5C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  <w:szCs w:val="20"/>
              </w:rPr>
              <w:t>5</w:t>
            </w:r>
            <w:r w:rsidR="00426BA4" w:rsidRPr="00EB6311">
              <w:rPr>
                <w:rFonts w:asciiTheme="minorHAnsi" w:hAnsiTheme="minorHAnsi" w:cstheme="minorHAnsi"/>
                <w:szCs w:val="20"/>
              </w:rPr>
              <w:t>5</w:t>
            </w:r>
            <w:r w:rsidRPr="00EB6311">
              <w:rPr>
                <w:rFonts w:asciiTheme="minorHAnsi" w:hAnsiTheme="minorHAnsi" w:cstheme="minorHAnsi"/>
                <w:szCs w:val="20"/>
              </w:rPr>
              <w:t>,</w:t>
            </w:r>
            <w:r w:rsidR="00426BA4" w:rsidRPr="00EB6311">
              <w:rPr>
                <w:rFonts w:asciiTheme="minorHAnsi" w:hAnsiTheme="minorHAnsi" w:cstheme="minorHAnsi"/>
                <w:szCs w:val="20"/>
              </w:rPr>
              <w:t>1</w:t>
            </w:r>
            <w:r w:rsidR="00BB70BF" w:rsidRPr="00EB6311">
              <w:rPr>
                <w:rFonts w:asciiTheme="minorHAnsi" w:hAnsiTheme="minorHAnsi" w:cstheme="minorHAnsi"/>
              </w:rPr>
              <w:t xml:space="preserve"> (Knowledge and technology outputs </w:t>
            </w:r>
            <w:r w:rsidR="00700CAD" w:rsidRPr="00EB6311">
              <w:rPr>
                <w:rFonts w:asciiTheme="minorHAnsi" w:hAnsiTheme="minorHAnsi" w:cstheme="minorHAnsi"/>
                <w:szCs w:val="20"/>
              </w:rPr>
              <w:t>2</w:t>
            </w:r>
            <w:r w:rsidR="00426BA4" w:rsidRPr="00EB6311">
              <w:rPr>
                <w:rFonts w:asciiTheme="minorHAnsi" w:hAnsiTheme="minorHAnsi" w:cstheme="minorHAnsi"/>
                <w:szCs w:val="20"/>
              </w:rPr>
              <w:t>6</w:t>
            </w:r>
            <w:r w:rsidR="00700CAD" w:rsidRPr="00EB6311">
              <w:rPr>
                <w:rFonts w:asciiTheme="minorHAnsi" w:hAnsiTheme="minorHAnsi" w:cstheme="minorHAnsi"/>
                <w:szCs w:val="20"/>
              </w:rPr>
              <w:t>,</w:t>
            </w:r>
            <w:r w:rsidR="00426BA4" w:rsidRPr="00EB6311">
              <w:rPr>
                <w:rFonts w:asciiTheme="minorHAnsi" w:hAnsiTheme="minorHAnsi" w:cstheme="minorHAnsi"/>
                <w:szCs w:val="20"/>
              </w:rPr>
              <w:t>9</w:t>
            </w:r>
            <w:r w:rsidR="00BB70BF" w:rsidRPr="00EB6311">
              <w:rPr>
                <w:rFonts w:asciiTheme="minorHAnsi" w:hAnsiTheme="minorHAnsi" w:cstheme="minorHAnsi"/>
              </w:rPr>
              <w:t xml:space="preserve">; Creative outputs </w:t>
            </w:r>
            <w:r w:rsidRPr="00EB6311">
              <w:rPr>
                <w:rFonts w:asciiTheme="minorHAnsi" w:hAnsiTheme="minorHAnsi" w:cstheme="minorHAnsi"/>
                <w:szCs w:val="20"/>
              </w:rPr>
              <w:t>2</w:t>
            </w:r>
            <w:r w:rsidR="00426BA4" w:rsidRPr="00EB6311">
              <w:rPr>
                <w:rFonts w:asciiTheme="minorHAnsi" w:hAnsiTheme="minorHAnsi" w:cstheme="minorHAnsi"/>
                <w:szCs w:val="20"/>
              </w:rPr>
              <w:t>8,2</w:t>
            </w:r>
            <w:r w:rsidRPr="00EB6311">
              <w:rPr>
                <w:rFonts w:asciiTheme="minorHAnsi" w:hAnsiTheme="minorHAnsi" w:cstheme="minorHAnsi"/>
                <w:szCs w:val="20"/>
              </w:rPr>
              <w:t>)</w:t>
            </w:r>
          </w:p>
          <w:p w14:paraId="15565CAF" w14:textId="24089ADE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(</w:t>
            </w:r>
            <w:r w:rsidR="00021B5C" w:rsidRPr="00EB6311">
              <w:rPr>
                <w:rFonts w:asciiTheme="minorHAnsi" w:hAnsiTheme="minorHAnsi" w:cstheme="minorHAnsi"/>
                <w:szCs w:val="20"/>
              </w:rPr>
              <w:t>202</w:t>
            </w:r>
            <w:r w:rsidR="00062691" w:rsidRPr="00EB6311">
              <w:rPr>
                <w:rFonts w:asciiTheme="minorHAnsi" w:hAnsiTheme="minorHAnsi" w:cstheme="minorHAnsi"/>
                <w:szCs w:val="20"/>
              </w:rPr>
              <w:t>1</w:t>
            </w:r>
            <w:r w:rsidRPr="00EB6311">
              <w:rPr>
                <w:rFonts w:asciiTheme="minorHAnsi" w:hAnsiTheme="minorHAnsi" w:cstheme="minorHAnsi"/>
              </w:rPr>
              <w:t>.)</w:t>
            </w:r>
          </w:p>
        </w:tc>
        <w:tc>
          <w:tcPr>
            <w:tcW w:w="981" w:type="dxa"/>
          </w:tcPr>
          <w:p w14:paraId="2D2E536F" w14:textId="77777777" w:rsidR="00BB70BF" w:rsidRPr="00EB6311" w:rsidRDefault="00BB70BF" w:rsidP="007F610C">
            <w:pPr>
              <w:pStyle w:val="CellColumn"/>
              <w:jc w:val="center"/>
              <w:rPr>
                <w:rFonts w:asciiTheme="minorHAnsi" w:hAnsiTheme="minorHAnsi" w:cstheme="minorHAnsi"/>
                <w:lang w:val="hr-HR"/>
              </w:rPr>
            </w:pPr>
            <w:r w:rsidRPr="00EB6311">
              <w:rPr>
                <w:rFonts w:asciiTheme="minorHAnsi" w:hAnsiTheme="minorHAnsi" w:cstheme="minorHAnsi"/>
                <w:lang w:val="hr-HR"/>
              </w:rPr>
              <w:t>WIPO Global Innovation Index</w:t>
            </w:r>
          </w:p>
        </w:tc>
        <w:tc>
          <w:tcPr>
            <w:tcW w:w="918" w:type="dxa"/>
          </w:tcPr>
          <w:p w14:paraId="65438318" w14:textId="77777777" w:rsidR="00BB70BF" w:rsidRPr="00EB6311" w:rsidRDefault="00BB70BF" w:rsidP="007F610C">
            <w:p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&gt;55,1</w:t>
            </w:r>
          </w:p>
        </w:tc>
        <w:tc>
          <w:tcPr>
            <w:tcW w:w="918" w:type="dxa"/>
          </w:tcPr>
          <w:p w14:paraId="6A090B47" w14:textId="77777777" w:rsidR="00BB70BF" w:rsidRPr="00EB6311" w:rsidRDefault="00BB70BF" w:rsidP="007F610C">
            <w:p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&gt;55,1</w:t>
            </w:r>
          </w:p>
        </w:tc>
        <w:tc>
          <w:tcPr>
            <w:tcW w:w="918" w:type="dxa"/>
          </w:tcPr>
          <w:p w14:paraId="7802A1A5" w14:textId="77777777" w:rsidR="00BB70BF" w:rsidRPr="00EB6311" w:rsidRDefault="00BB70BF" w:rsidP="007F610C">
            <w:p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&gt;55,1</w:t>
            </w:r>
          </w:p>
        </w:tc>
      </w:tr>
    </w:tbl>
    <w:p w14:paraId="588A580E" w14:textId="77777777" w:rsidR="00BB70BF" w:rsidRPr="00EB6311" w:rsidRDefault="00BB70BF" w:rsidP="007F610C">
      <w:pPr>
        <w:jc w:val="both"/>
        <w:rPr>
          <w:rFonts w:cstheme="minorHAnsi"/>
        </w:rPr>
      </w:pPr>
    </w:p>
    <w:p w14:paraId="4E60FEEE" w14:textId="77777777" w:rsidR="00BB70BF" w:rsidRPr="00EB6311" w:rsidRDefault="00BB70BF" w:rsidP="007F610C">
      <w:pPr>
        <w:pStyle w:val="Heading3"/>
        <w:rPr>
          <w:rFonts w:asciiTheme="minorHAnsi" w:hAnsiTheme="minorHAnsi" w:cstheme="minorHAnsi"/>
          <w:lang w:val="hr-HR"/>
        </w:rPr>
      </w:pPr>
      <w:r w:rsidRPr="00EB6311">
        <w:rPr>
          <w:rFonts w:asciiTheme="minorHAnsi" w:hAnsiTheme="minorHAnsi" w:cstheme="minorHAnsi"/>
          <w:lang w:val="hr-HR"/>
        </w:rPr>
        <w:t>A763000 ADMINISTRACIJA I UPRAVLJANJE DRŽAVNOG ZAVODA ZA INTELEKTUALNO VLASNIŠTVO</w:t>
      </w:r>
    </w:p>
    <w:p w14:paraId="49C3DAD8" w14:textId="77777777" w:rsidR="00021B5C" w:rsidRPr="00EB6311" w:rsidRDefault="00021B5C" w:rsidP="00F815A6">
      <w:pPr>
        <w:jc w:val="both"/>
        <w:rPr>
          <w:rFonts w:cstheme="minorHAnsi"/>
        </w:rPr>
      </w:pPr>
    </w:p>
    <w:p w14:paraId="7A20D53C" w14:textId="77777777" w:rsidR="00BB70BF" w:rsidRPr="00EB6311" w:rsidRDefault="00BB70BF" w:rsidP="007F610C">
      <w:pPr>
        <w:jc w:val="both"/>
        <w:rPr>
          <w:rFonts w:cstheme="minorHAnsi"/>
          <w:b/>
        </w:rPr>
      </w:pPr>
      <w:r w:rsidRPr="00EB6311">
        <w:rPr>
          <w:rFonts w:cstheme="minorHAnsi"/>
          <w:b/>
        </w:rPr>
        <w:t>Zakonske i druge pravne osnove</w:t>
      </w:r>
    </w:p>
    <w:p w14:paraId="79AF5BB2" w14:textId="77777777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Zakon o ustrojstvu i djelokrugu ministarstava i drugih središnjih tijela državne uprave,</w:t>
      </w:r>
    </w:p>
    <w:p w14:paraId="575DA397" w14:textId="0C59E8AD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Zakon o patentu,</w:t>
      </w:r>
    </w:p>
    <w:p w14:paraId="3E59AF4C" w14:textId="703FE4F3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Zakon o žigu, </w:t>
      </w:r>
    </w:p>
    <w:p w14:paraId="11A6CF7A" w14:textId="77777777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Zakon o oznakama zemljopisnog podrijetla i oznakama izvornosti proizvoda i usluga,</w:t>
      </w:r>
    </w:p>
    <w:p w14:paraId="47723F21" w14:textId="5E3F2FA4" w:rsidR="00513E91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Zakon o zaštiti topografija poluvodičkih proizvoda,</w:t>
      </w:r>
    </w:p>
    <w:p w14:paraId="04ECBD98" w14:textId="3913A00A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Zakon o industrijskom dizajnu,</w:t>
      </w:r>
    </w:p>
    <w:p w14:paraId="09321337" w14:textId="40EF63F8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Zakon o autorskom pravu i srodnim pravima,</w:t>
      </w:r>
    </w:p>
    <w:p w14:paraId="6117D1C9" w14:textId="3ADAEDBF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Zakon o zaštiti neobjavljenih informacija s tržišnom vrijednosti,</w:t>
      </w:r>
    </w:p>
    <w:p w14:paraId="1E2C1178" w14:textId="7BDF8B41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Zakon o </w:t>
      </w:r>
      <w:r w:rsidR="00062691" w:rsidRPr="00EB6311">
        <w:rPr>
          <w:rFonts w:cstheme="minorHAnsi"/>
        </w:rPr>
        <w:t>naknadama</w:t>
      </w:r>
      <w:r w:rsidRPr="00EB6311">
        <w:rPr>
          <w:rFonts w:cstheme="minorHAnsi"/>
        </w:rPr>
        <w:t xml:space="preserve"> u području intelektualnog vlasništva,</w:t>
      </w:r>
    </w:p>
    <w:p w14:paraId="1BA6FBD7" w14:textId="49EE38C5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Uredba o naknadama za posebne troškove i troškove za pružanje informacijskih usluga Državnog zavoda za intelektualno vlasništvo,</w:t>
      </w:r>
    </w:p>
    <w:p w14:paraId="70183960" w14:textId="5304B6A8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Uredba (EZ) br. 469/2009 o svjedodžbi o dodatnoj zaštiti za lijekove,</w:t>
      </w:r>
    </w:p>
    <w:p w14:paraId="6C5E02A5" w14:textId="76E023BE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Uredba (EZ) br. 1610/96 o uvođenju svjedodžbe o dodatnoj zaštiti za sredstva za zaštitu bilja,</w:t>
      </w:r>
    </w:p>
    <w:p w14:paraId="6D986DFF" w14:textId="0FC832A0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Ugovor o suradnji na području patenata (PCT),</w:t>
      </w:r>
    </w:p>
    <w:p w14:paraId="0BC0CBCC" w14:textId="0E4AEEAF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lastRenderedPageBreak/>
        <w:t>Pravilnik prema Ugovoru o suradnji na području patenata (PCT),</w:t>
      </w:r>
    </w:p>
    <w:p w14:paraId="7E5703D5" w14:textId="6BB358C8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Europska patentna konvencija (EPC 2000), </w:t>
      </w:r>
    </w:p>
    <w:p w14:paraId="6B3B0174" w14:textId="5A61ED1C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Provedbeni pravilnik Europske patentne konvencije,</w:t>
      </w:r>
    </w:p>
    <w:p w14:paraId="51B3C1BD" w14:textId="79D24022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Pravilnik o pristojbama uz Europsku patentnu konvenciju,</w:t>
      </w:r>
    </w:p>
    <w:p w14:paraId="781C6093" w14:textId="11F346F3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Madridski sporazum o međunarodnoj registraciji žigova,</w:t>
      </w:r>
    </w:p>
    <w:p w14:paraId="73B1DD56" w14:textId="3CF58FA6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Protokol koji se odnosi na Madridski sporazum o međunarodnoj registraciji žigova,</w:t>
      </w:r>
    </w:p>
    <w:p w14:paraId="098528DA" w14:textId="3394B610" w:rsidR="00273025" w:rsidRPr="00EB6311" w:rsidRDefault="00BB70BF" w:rsidP="00DB176A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Zajednički pravilnik uz Madridski sporazum o međunarodnoj registraciji žigova i Protokol koji se odnosi na Madridski sporazum i Izmjene i dopune Zajedničkog pravilnika,</w:t>
      </w:r>
    </w:p>
    <w:p w14:paraId="58A16AC3" w14:textId="2AC9F378" w:rsidR="00BB70BF" w:rsidRPr="00EB6311" w:rsidRDefault="00BB70BF" w:rsidP="007F610C">
      <w:pPr>
        <w:pStyle w:val="ListParagraph"/>
        <w:numPr>
          <w:ilvl w:val="0"/>
          <w:numId w:val="15"/>
        </w:numPr>
        <w:jc w:val="both"/>
        <w:rPr>
          <w:rFonts w:cstheme="minorHAnsi"/>
        </w:rPr>
      </w:pPr>
      <w:r w:rsidRPr="00EB6311">
        <w:rPr>
          <w:rFonts w:cstheme="minorHAnsi"/>
        </w:rPr>
        <w:t>Haški sporazum o međunarodnoj registraciji industrijskog dizajna te Ženevski Akt Haškog sporazuma, Zajednički pravilnik prema Aktu Haškoga sporazuma iz 1999., 1960. i 1934. godine.</w:t>
      </w:r>
    </w:p>
    <w:p w14:paraId="547CE95E" w14:textId="77777777" w:rsidR="00631017" w:rsidRPr="00EB6311" w:rsidRDefault="00631017" w:rsidP="00631017">
      <w:pPr>
        <w:jc w:val="both"/>
        <w:rPr>
          <w:rFonts w:cstheme="minorHAnsi"/>
        </w:rPr>
      </w:pP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499"/>
        <w:gridCol w:w="1601"/>
        <w:gridCol w:w="1602"/>
        <w:gridCol w:w="1602"/>
        <w:gridCol w:w="1602"/>
        <w:gridCol w:w="1602"/>
        <w:gridCol w:w="698"/>
      </w:tblGrid>
      <w:tr w:rsidR="009A1A1A" w:rsidRPr="00EB6311" w14:paraId="47A1C7B4" w14:textId="77777777" w:rsidTr="006357A5">
        <w:trPr>
          <w:jc w:val="center"/>
        </w:trPr>
        <w:tc>
          <w:tcPr>
            <w:tcW w:w="1530" w:type="dxa"/>
            <w:shd w:val="clear" w:color="auto" w:fill="B5C0D8"/>
          </w:tcPr>
          <w:p w14:paraId="5711A180" w14:textId="77777777" w:rsidR="00631017" w:rsidRPr="00EB6311" w:rsidRDefault="00631017" w:rsidP="00E018D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4389A05E" w14:textId="2DFC024D" w:rsidR="00BB70BF" w:rsidRPr="00EB6311" w:rsidRDefault="00BB70BF" w:rsidP="007F610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  <w:shd w:val="clear" w:color="auto" w:fill="B5C0D8"/>
          </w:tcPr>
          <w:p w14:paraId="11DA14B6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Izvršenje 2021.</w:t>
            </w:r>
          </w:p>
        </w:tc>
        <w:tc>
          <w:tcPr>
            <w:tcW w:w="1632" w:type="dxa"/>
            <w:shd w:val="clear" w:color="auto" w:fill="B5C0D8"/>
          </w:tcPr>
          <w:p w14:paraId="7659466E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2022.</w:t>
            </w:r>
          </w:p>
        </w:tc>
        <w:tc>
          <w:tcPr>
            <w:tcW w:w="1632" w:type="dxa"/>
            <w:shd w:val="clear" w:color="auto" w:fill="B5C0D8"/>
          </w:tcPr>
          <w:p w14:paraId="59EFF2A1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653BF050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477F277F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2025.</w:t>
            </w:r>
          </w:p>
        </w:tc>
        <w:tc>
          <w:tcPr>
            <w:tcW w:w="510" w:type="dxa"/>
            <w:shd w:val="clear" w:color="auto" w:fill="B5C0D8"/>
          </w:tcPr>
          <w:p w14:paraId="741B0555" w14:textId="14F294B4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 xml:space="preserve">Indeks </w:t>
            </w:r>
            <w:r w:rsidR="00631017" w:rsidRPr="00EB6311">
              <w:rPr>
                <w:rFonts w:asciiTheme="minorHAnsi" w:hAnsiTheme="minorHAnsi" w:cstheme="minorHAnsi"/>
                <w:szCs w:val="20"/>
              </w:rPr>
              <w:t>2</w:t>
            </w:r>
            <w:r w:rsidR="0072122D" w:rsidRPr="00EB6311">
              <w:rPr>
                <w:rFonts w:asciiTheme="minorHAnsi" w:hAnsiTheme="minorHAnsi" w:cstheme="minorHAnsi"/>
                <w:szCs w:val="20"/>
              </w:rPr>
              <w:t>3</w:t>
            </w:r>
            <w:r w:rsidR="00631017" w:rsidRPr="00EB6311">
              <w:rPr>
                <w:rFonts w:asciiTheme="minorHAnsi" w:hAnsiTheme="minorHAnsi" w:cstheme="minorHAnsi"/>
                <w:szCs w:val="20"/>
              </w:rPr>
              <w:t>./2</w:t>
            </w:r>
            <w:r w:rsidR="0072122D" w:rsidRPr="00EB6311">
              <w:rPr>
                <w:rFonts w:asciiTheme="minorHAnsi" w:hAnsiTheme="minorHAnsi" w:cstheme="minorHAnsi"/>
                <w:szCs w:val="20"/>
              </w:rPr>
              <w:t>2</w:t>
            </w:r>
            <w:r w:rsidR="00631017" w:rsidRPr="00EB6311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7F610C" w:rsidRPr="00EB6311" w14:paraId="19B2A242" w14:textId="77777777" w:rsidTr="006357A5">
        <w:trPr>
          <w:jc w:val="center"/>
        </w:trPr>
        <w:tc>
          <w:tcPr>
            <w:tcW w:w="1530" w:type="dxa"/>
            <w:vAlign w:val="top"/>
          </w:tcPr>
          <w:p w14:paraId="181E1E51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A763000</w:t>
            </w:r>
          </w:p>
        </w:tc>
        <w:tc>
          <w:tcPr>
            <w:tcW w:w="1632" w:type="dxa"/>
            <w:vAlign w:val="top"/>
          </w:tcPr>
          <w:p w14:paraId="567DD7CD" w14:textId="20D7CBAE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2.532.040</w:t>
            </w:r>
          </w:p>
        </w:tc>
        <w:tc>
          <w:tcPr>
            <w:tcW w:w="1632" w:type="dxa"/>
            <w:vAlign w:val="top"/>
          </w:tcPr>
          <w:p w14:paraId="34CCAD2A" w14:textId="23D3A93C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3.052.142</w:t>
            </w:r>
          </w:p>
        </w:tc>
        <w:tc>
          <w:tcPr>
            <w:tcW w:w="1632" w:type="dxa"/>
            <w:vAlign w:val="top"/>
          </w:tcPr>
          <w:p w14:paraId="2B1BE7FF" w14:textId="7FB12A88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3.515.594</w:t>
            </w:r>
          </w:p>
        </w:tc>
        <w:tc>
          <w:tcPr>
            <w:tcW w:w="1632" w:type="dxa"/>
            <w:vAlign w:val="top"/>
          </w:tcPr>
          <w:p w14:paraId="689FDCE7" w14:textId="7DA9D6D5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3.644.919</w:t>
            </w:r>
          </w:p>
        </w:tc>
        <w:tc>
          <w:tcPr>
            <w:tcW w:w="1632" w:type="dxa"/>
            <w:vAlign w:val="top"/>
          </w:tcPr>
          <w:p w14:paraId="57EA7DC2" w14:textId="6F8AE131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3.787.563</w:t>
            </w:r>
          </w:p>
        </w:tc>
        <w:tc>
          <w:tcPr>
            <w:tcW w:w="510" w:type="dxa"/>
            <w:vAlign w:val="top"/>
          </w:tcPr>
          <w:p w14:paraId="59E74E45" w14:textId="115B6A91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115,2</w:t>
            </w:r>
          </w:p>
        </w:tc>
      </w:tr>
    </w:tbl>
    <w:p w14:paraId="750774BF" w14:textId="77777777" w:rsidR="00BB70BF" w:rsidRPr="00EB6311" w:rsidRDefault="00BB70BF" w:rsidP="007F610C">
      <w:pPr>
        <w:jc w:val="both"/>
        <w:rPr>
          <w:rFonts w:cstheme="minorHAnsi"/>
        </w:rPr>
      </w:pPr>
    </w:p>
    <w:p w14:paraId="3A16BB1F" w14:textId="393F8ACB" w:rsidR="00BB70BF" w:rsidRPr="00EB6311" w:rsidRDefault="00BB70BF" w:rsidP="007F610C">
      <w:pPr>
        <w:jc w:val="both"/>
        <w:rPr>
          <w:rFonts w:cstheme="minorHAnsi"/>
        </w:rPr>
      </w:pPr>
      <w:r w:rsidRPr="00EB6311">
        <w:rPr>
          <w:rFonts w:cstheme="minorHAnsi"/>
        </w:rPr>
        <w:t>Aktivnost Administracija i upravljanje obuhvaća sve redovne poslove i aktivnosti DZIV-a na ostvarenju propisane djelatnosti koja se odnosi na osiguravanje primjerenog sustava zaštite prava intelektualnog vlasništva na teritoriju Republike Hrvatske putem nacionalnog i nadnacionalnih sustava zaštite. Provedbom ove aktivnosti osigurava se:</w:t>
      </w:r>
    </w:p>
    <w:p w14:paraId="1515784B" w14:textId="35C52F59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obavljanje propisanih upravnih i stručnih poslova koji se odnose na razvoj zakonodavnog okvira za zaštitu intelektualnog vlasništva; </w:t>
      </w:r>
    </w:p>
    <w:p w14:paraId="73B49B87" w14:textId="33ABDB9D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provedba postupaka za zaštitu prava industrijskog vlasništva i nadzor nad sustavom kolektivnog ostvarivanja autorskog i srodnih prava; </w:t>
      </w:r>
    </w:p>
    <w:p w14:paraId="72BF726A" w14:textId="341B235E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razvoj i pružanje pratećih javnih stručnih usluga iz područja intelektualnog vlasništva; </w:t>
      </w:r>
    </w:p>
    <w:p w14:paraId="35954DC3" w14:textId="02E8A618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razvoj i održavanje javnih registara i baza podataka iz područja intelektualnog vlasništva te održavanje i razvoj prateće informacijske, podatkovne i mrežne infrastrukture;  </w:t>
      </w:r>
    </w:p>
    <w:p w14:paraId="3BD4F20E" w14:textId="41019C05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razvoj pratećih e-usluga; </w:t>
      </w:r>
    </w:p>
    <w:p w14:paraId="7356D01C" w14:textId="089A0143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razvoj i provedba razmjene podataka s međunarodnim sustavima zaštite intelektualnog vlasništva te uključivanje u zajedničke informacijske sustave; </w:t>
      </w:r>
    </w:p>
    <w:p w14:paraId="647AB7E2" w14:textId="050AB6C4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sudjelovanje u razvoju zakonodavnog i institucionalnog okvira Europske unije u području intelektualnog vlasništva; </w:t>
      </w:r>
    </w:p>
    <w:p w14:paraId="52ED40BA" w14:textId="5FA037DB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obavljanje poslova službene europske i međunarodne suradnje s odgovarajućim državnim institucijama drugih zemalja, kao i odgovarajućim europskim i međunarodnim organizacijama; </w:t>
      </w:r>
    </w:p>
    <w:p w14:paraId="72D9016D" w14:textId="2B1EEA56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poslovi pripreme, zaključivanja i izvršavanje međunarodnih ugovora iz područja intelektualnog vlasništva; </w:t>
      </w:r>
    </w:p>
    <w:p w14:paraId="0A1894FB" w14:textId="0806CB3F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poslovi vezani uz predstavljanje Republike Hrvatske u europskim i međunarodnim organizacijama i stručnim tijelima iz područja intelektualnog vlasništva; </w:t>
      </w:r>
    </w:p>
    <w:p w14:paraId="6C1827B0" w14:textId="6178E027" w:rsidR="00BB70BF" w:rsidRPr="00EB6311" w:rsidRDefault="00BB70BF" w:rsidP="007F610C">
      <w:pPr>
        <w:pStyle w:val="ListParagraph"/>
        <w:numPr>
          <w:ilvl w:val="0"/>
          <w:numId w:val="12"/>
        </w:numPr>
        <w:jc w:val="both"/>
        <w:rPr>
          <w:rFonts w:cstheme="minorHAnsi"/>
        </w:rPr>
      </w:pPr>
      <w:r w:rsidRPr="00EB6311">
        <w:rPr>
          <w:rFonts w:cstheme="minorHAnsi"/>
        </w:rPr>
        <w:t>ostali poslovi razvoja i unaprjeđenja ukupnog nacionalnog sustava intelektualnog vlasništva.</w:t>
      </w:r>
    </w:p>
    <w:p w14:paraId="75B78837" w14:textId="77777777" w:rsidR="00BB70BF" w:rsidRPr="00EB6311" w:rsidRDefault="00BB70BF" w:rsidP="007F610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43927ED2" w14:textId="0A0ABBAA" w:rsidR="00631017" w:rsidRPr="00EB6311" w:rsidRDefault="00BB70BF" w:rsidP="009919D6">
      <w:pPr>
        <w:spacing w:line="240" w:lineRule="auto"/>
        <w:jc w:val="both"/>
        <w:rPr>
          <w:rFonts w:cstheme="minorHAnsi"/>
        </w:rPr>
      </w:pPr>
      <w:r w:rsidRPr="00EB6311">
        <w:rPr>
          <w:rFonts w:cstheme="minorHAnsi"/>
        </w:rPr>
        <w:t>Od ukupnih planiranih rashoda financiranih s izvora 11, rasho</w:t>
      </w:r>
      <w:r w:rsidR="00EA20A0" w:rsidRPr="00EB6311">
        <w:rPr>
          <w:rFonts w:cstheme="minorHAnsi"/>
        </w:rPr>
        <w:t>di za zaposlene (skupina</w:t>
      </w:r>
      <w:r w:rsidRPr="00EB6311">
        <w:rPr>
          <w:rFonts w:cstheme="minorHAnsi"/>
        </w:rPr>
        <w:t xml:space="preserve"> 31) u </w:t>
      </w:r>
      <w:r w:rsidR="00762F3E">
        <w:rPr>
          <w:rFonts w:cstheme="minorHAnsi"/>
        </w:rPr>
        <w:t xml:space="preserve">2023.godini </w:t>
      </w:r>
      <w:r w:rsidRPr="00EB6311">
        <w:rPr>
          <w:rFonts w:cstheme="minorHAnsi"/>
        </w:rPr>
        <w:t xml:space="preserve">čine udio od </w:t>
      </w:r>
      <w:r w:rsidR="00762F3E">
        <w:rPr>
          <w:rFonts w:eastAsia="Times New Roman" w:cstheme="minorHAnsi"/>
          <w:szCs w:val="20"/>
        </w:rPr>
        <w:t>87,6</w:t>
      </w:r>
      <w:r w:rsidR="00456A71">
        <w:rPr>
          <w:rFonts w:eastAsia="Times New Roman" w:cstheme="minorHAnsi"/>
          <w:szCs w:val="20"/>
        </w:rPr>
        <w:t>4</w:t>
      </w:r>
      <w:r w:rsidRPr="00EB6311">
        <w:rPr>
          <w:rFonts w:cstheme="minorHAnsi"/>
        </w:rPr>
        <w:t>% ukupnih rashoda, materija</w:t>
      </w:r>
      <w:r w:rsidR="00EA20A0" w:rsidRPr="00EB6311">
        <w:rPr>
          <w:rFonts w:cstheme="minorHAnsi"/>
        </w:rPr>
        <w:t>lni rashodi (skupina</w:t>
      </w:r>
      <w:r w:rsidRPr="00EB6311">
        <w:rPr>
          <w:rFonts w:cstheme="minorHAnsi"/>
        </w:rPr>
        <w:t xml:space="preserve"> 32) </w:t>
      </w:r>
      <w:r w:rsidR="00762F3E">
        <w:rPr>
          <w:rFonts w:eastAsia="Times New Roman" w:cstheme="minorHAnsi"/>
          <w:szCs w:val="20"/>
        </w:rPr>
        <w:t>12,1</w:t>
      </w:r>
      <w:r w:rsidR="00456A71">
        <w:rPr>
          <w:rFonts w:eastAsia="Times New Roman" w:cstheme="minorHAnsi"/>
          <w:szCs w:val="20"/>
        </w:rPr>
        <w:t>4</w:t>
      </w:r>
      <w:r w:rsidRPr="00EB6311">
        <w:rPr>
          <w:rFonts w:cstheme="minorHAnsi"/>
        </w:rPr>
        <w:t>%,  a financijski rashodi (skupina 34) te rashodi za nabav</w:t>
      </w:r>
      <w:r w:rsidR="00EA20A0" w:rsidRPr="00EB6311">
        <w:rPr>
          <w:rFonts w:cstheme="minorHAnsi"/>
        </w:rPr>
        <w:t>u nefinancijske imovine (skupina</w:t>
      </w:r>
      <w:r w:rsidRPr="00EB6311">
        <w:rPr>
          <w:rFonts w:cstheme="minorHAnsi"/>
        </w:rPr>
        <w:t xml:space="preserve"> 42) čine neznatnih 0,</w:t>
      </w:r>
      <w:r w:rsidRPr="00EB6311">
        <w:rPr>
          <w:rFonts w:eastAsia="Times New Roman" w:cstheme="minorHAnsi"/>
          <w:szCs w:val="20"/>
        </w:rPr>
        <w:t>2</w:t>
      </w:r>
      <w:r w:rsidR="00762F3E">
        <w:rPr>
          <w:rFonts w:eastAsia="Times New Roman" w:cstheme="minorHAnsi"/>
          <w:szCs w:val="20"/>
        </w:rPr>
        <w:t>2</w:t>
      </w:r>
      <w:r w:rsidRPr="00EB6311">
        <w:rPr>
          <w:rFonts w:cstheme="minorHAnsi"/>
        </w:rPr>
        <w:t>% od ukupnih rashoda:</w:t>
      </w:r>
    </w:p>
    <w:p w14:paraId="1CF19ACC" w14:textId="3F30CAAC" w:rsidR="00BB70BF" w:rsidRPr="00EB6311" w:rsidRDefault="00BB70BF" w:rsidP="007F610C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bookmarkStart w:id="0" w:name="_GoBack"/>
      <w:r w:rsidRPr="00EB6311">
        <w:rPr>
          <w:rFonts w:cstheme="minorHAnsi"/>
        </w:rPr>
        <w:lastRenderedPageBreak/>
        <w:t xml:space="preserve">Rashodi za zaposlene </w:t>
      </w:r>
      <w:r w:rsidRPr="00EB6311">
        <w:rPr>
          <w:rFonts w:eastAsia="Times New Roman" w:cstheme="minorHAnsi"/>
          <w:szCs w:val="20"/>
        </w:rPr>
        <w:t>za 2023.</w:t>
      </w:r>
      <w:r w:rsidR="001F63EF">
        <w:rPr>
          <w:rFonts w:eastAsia="Times New Roman" w:cstheme="minorHAnsi"/>
          <w:szCs w:val="20"/>
        </w:rPr>
        <w:t xml:space="preserve"> </w:t>
      </w:r>
      <w:r w:rsidRPr="00EB6311">
        <w:rPr>
          <w:rFonts w:cstheme="minorHAnsi"/>
        </w:rPr>
        <w:t xml:space="preserve">godinu planirani su u visini prosječnog bruto iznosa od </w:t>
      </w:r>
      <w:r w:rsidRPr="00EB6311">
        <w:rPr>
          <w:rFonts w:eastAsia="Times New Roman" w:cstheme="minorHAnsi"/>
          <w:szCs w:val="20"/>
        </w:rPr>
        <w:t>1.</w:t>
      </w:r>
      <w:r w:rsidR="00762F3E">
        <w:rPr>
          <w:rFonts w:eastAsia="Times New Roman" w:cstheme="minorHAnsi"/>
          <w:szCs w:val="20"/>
        </w:rPr>
        <w:t>827</w:t>
      </w:r>
      <w:r w:rsidRPr="00EB6311">
        <w:rPr>
          <w:rFonts w:eastAsia="Times New Roman" w:cstheme="minorHAnsi"/>
          <w:szCs w:val="20"/>
        </w:rPr>
        <w:t xml:space="preserve"> EUR</w:t>
      </w:r>
      <w:r w:rsidRPr="00EB6311">
        <w:rPr>
          <w:rFonts w:cstheme="minorHAnsi"/>
        </w:rPr>
        <w:t xml:space="preserve"> za planirani broj od </w:t>
      </w:r>
      <w:r w:rsidR="00762F3E" w:rsidRPr="00EB6311">
        <w:rPr>
          <w:rFonts w:eastAsia="Times New Roman" w:cstheme="minorHAnsi"/>
          <w:szCs w:val="20"/>
        </w:rPr>
        <w:t>9</w:t>
      </w:r>
      <w:r w:rsidR="00BA4976">
        <w:rPr>
          <w:rFonts w:eastAsia="Times New Roman" w:cstheme="minorHAnsi"/>
          <w:szCs w:val="20"/>
        </w:rPr>
        <w:t>5</w:t>
      </w:r>
      <w:r w:rsidR="00762F3E" w:rsidRPr="00EB6311">
        <w:rPr>
          <w:rFonts w:cstheme="minorHAnsi"/>
        </w:rPr>
        <w:t xml:space="preserve"> </w:t>
      </w:r>
      <w:r w:rsidRPr="00EB6311">
        <w:rPr>
          <w:rFonts w:cstheme="minorHAnsi"/>
        </w:rPr>
        <w:t>zaposlenika</w:t>
      </w:r>
      <w:r w:rsidRPr="00EB6311">
        <w:rPr>
          <w:rFonts w:eastAsia="Times New Roman" w:cstheme="minorHAnsi"/>
          <w:szCs w:val="20"/>
        </w:rPr>
        <w:t xml:space="preserve">. </w:t>
      </w:r>
      <w:bookmarkEnd w:id="0"/>
      <w:r w:rsidRPr="00EB6311">
        <w:rPr>
          <w:rFonts w:cstheme="minorHAnsi"/>
        </w:rPr>
        <w:t>Rashodi su planirani na temelju materijalnih prava državnih službenika i  dužnosnika</w:t>
      </w:r>
      <w:r w:rsidR="001F63EF">
        <w:rPr>
          <w:rFonts w:cstheme="minorHAnsi"/>
        </w:rPr>
        <w:t xml:space="preserve"> propisanima aktima na snazi u rujnu 2022. godine</w:t>
      </w:r>
      <w:r w:rsidRPr="00EB6311">
        <w:rPr>
          <w:rFonts w:cstheme="minorHAnsi"/>
        </w:rPr>
        <w:t>;</w:t>
      </w:r>
    </w:p>
    <w:p w14:paraId="6585BB44" w14:textId="0400F629" w:rsidR="00BB70BF" w:rsidRPr="00EB6311" w:rsidRDefault="00BB70BF" w:rsidP="007F610C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EB6311">
        <w:rPr>
          <w:rFonts w:cstheme="minorHAnsi"/>
        </w:rPr>
        <w:t>Materijalni rashodi obuhvaćaju rashode korištenja usluga i dobara koja se odnose na redovno poslovanje i obavljanje redovne djelatnosti DZIV-a (uredski materijal, telekomunikacijske usluge, poštanske usluge, troškovi sudskih sporova itd.), uključujući rashode za rad neovisnog drugostupanjskog tijela (Žalbenih vijeća u području prava industrijskog vlasništva) u prijelaznom periodu do planiranog  prestanka rada po okončanju preostalih predmeta koji se odnose na upravne sporove koji se protiv odluka drugostupanjskog tijela vode na Upravnom sudu u Zagrebu i Visokom upravnom sudu (mjesečne paušalne naknade predsjedniku i zamjenicima Žalbenih vijeća u području prava industrijskog vlasništva te naknade za rad članova Žalbenih vijeća za rad na mogućim predmetima vraćenim s navedenih sudova na ponovno rješavanje). Najznačajnije kategorije materijalnih rashoda planiraju se za usluge telefona, pošte i prijevoza (17% materijalnih rashoda) u okviru kojih se planira povećanje troškova komunikacijskog povezivanja i prijenosa podataka zbog povezivanja na sustav za povezivanje javnopravnih tijela HITRONet; za računalne usluge za potrebe redovnog održavanja računalnih (informatičkih) sustava i servisa (9% materijalnih rashoda); te za zakupnine i najamnine (</w:t>
      </w:r>
      <w:r w:rsidRPr="00EB6311">
        <w:rPr>
          <w:rFonts w:eastAsia="Times New Roman" w:cstheme="minorHAnsi"/>
          <w:szCs w:val="20"/>
        </w:rPr>
        <w:t>21</w:t>
      </w:r>
      <w:r w:rsidRPr="00EB6311">
        <w:rPr>
          <w:rFonts w:cstheme="minorHAnsi"/>
        </w:rPr>
        <w:t>% materijalnih rashoda) glavninu kojih čine godišnji troškovi održavanja i nabave novih softverskih licenci za korištenje uredskih i specijaliziranih programskih alata (Microsoft i dr.) te troškovi povećanja opsega korištenja usluge ispisa putem uzimanja opreme u zakup (putem Središnjeg državnog ureda za središnju javnu nabavu) s obzirom na dotrajalost i zastarjelost te potreban otpis do sada korištenih vlastitih  pisača nabavljenih prije uvođenja usluge ispisa;</w:t>
      </w:r>
    </w:p>
    <w:p w14:paraId="54AC13ED" w14:textId="33F02450" w:rsidR="00BB70BF" w:rsidRPr="00EB6311" w:rsidRDefault="00BB70BF" w:rsidP="007F610C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EB6311">
        <w:rPr>
          <w:rFonts w:cstheme="minorHAnsi"/>
        </w:rPr>
        <w:t xml:space="preserve">U okviru financijskih rashoda planiraju se troškovi bankarskih usluga i usluga platnog prometa te zateznih kamata, za sve godine planiranja u jednakom neznatnom iznosu od </w:t>
      </w:r>
      <w:r w:rsidRPr="00EB6311">
        <w:rPr>
          <w:rFonts w:eastAsia="Times New Roman" w:cstheme="minorHAnsi"/>
          <w:szCs w:val="20"/>
        </w:rPr>
        <w:t>146</w:t>
      </w:r>
      <w:r w:rsidRPr="00EB6311">
        <w:rPr>
          <w:rFonts w:cstheme="minorHAnsi"/>
        </w:rPr>
        <w:t xml:space="preserve"> EUR; </w:t>
      </w:r>
    </w:p>
    <w:p w14:paraId="5B8A3EAB" w14:textId="7EE0B8B6" w:rsidR="00BB70BF" w:rsidRPr="00EB6311" w:rsidRDefault="00BB70BF" w:rsidP="007F610C">
      <w:pPr>
        <w:pStyle w:val="ListParagraph"/>
        <w:numPr>
          <w:ilvl w:val="0"/>
          <w:numId w:val="9"/>
        </w:numPr>
        <w:spacing w:after="0"/>
        <w:jc w:val="both"/>
        <w:rPr>
          <w:rFonts w:cstheme="minorHAnsi"/>
        </w:rPr>
      </w:pPr>
      <w:r w:rsidRPr="00EB6311">
        <w:rPr>
          <w:rFonts w:cstheme="minorHAnsi"/>
        </w:rPr>
        <w:t>Rashodi za nabavu nefinancijske imovine uključuju planirana sredstva u godišnjem iznosu od 5.043 EUR</w:t>
      </w:r>
      <w:r w:rsidR="0079377D" w:rsidRPr="00EB6311">
        <w:rPr>
          <w:rFonts w:cstheme="minorHAnsi"/>
        </w:rPr>
        <w:t xml:space="preserve"> za sve tri godine</w:t>
      </w:r>
      <w:r w:rsidRPr="00EB6311">
        <w:rPr>
          <w:rFonts w:cstheme="minorHAnsi"/>
        </w:rPr>
        <w:t xml:space="preserve"> za nužnu obnovu dotrajale i tehnološki zastarjele uredske i komunikacijske opreme te zamjenu dotrajalih klimatizacijskih uređaja energetski učinkovitijima. </w:t>
      </w:r>
    </w:p>
    <w:p w14:paraId="619312D7" w14:textId="77777777" w:rsidR="00BB70BF" w:rsidRPr="00EB6311" w:rsidRDefault="00BB70BF" w:rsidP="007F610C">
      <w:pPr>
        <w:pStyle w:val="ListParagraph"/>
        <w:spacing w:after="0"/>
        <w:ind w:left="284"/>
        <w:jc w:val="both"/>
        <w:rPr>
          <w:rFonts w:cstheme="minorHAnsi"/>
        </w:rPr>
      </w:pPr>
    </w:p>
    <w:p w14:paraId="6246B172" w14:textId="77777777" w:rsidR="00BB70BF" w:rsidRPr="00EB6311" w:rsidRDefault="00BB70BF" w:rsidP="007F610C">
      <w:pPr>
        <w:spacing w:after="0"/>
        <w:jc w:val="both"/>
        <w:rPr>
          <w:rFonts w:cstheme="minorHAnsi"/>
        </w:rPr>
      </w:pPr>
      <w:r w:rsidRPr="00EB6311">
        <w:rPr>
          <w:rFonts w:cstheme="minorHAnsi"/>
        </w:rPr>
        <w:t xml:space="preserve">Rashodi financirani vlastitim sredstvima (izvor 31), koja čine akumulirani prihod od internog ugostiteljskog objekta koji je tijekom 2022. privremeno prestao s radom radi prestanka ugovornog odnosa s dosadašnjim voditeljem, planirani su u godišnjem iznosu od 1.314 EUR za sve tri godine i najvećim se dijelom odnose na financiranje rashoda nabave robe za potrebe istog internog ugostiteljskog objekta za slučaj nastavka rada internog ugostiteljskog objekta. </w:t>
      </w:r>
    </w:p>
    <w:p w14:paraId="4D125F78" w14:textId="77777777" w:rsidR="00BB70BF" w:rsidRPr="00EB6311" w:rsidRDefault="00BB70BF" w:rsidP="007F610C">
      <w:pPr>
        <w:spacing w:after="0"/>
        <w:jc w:val="both"/>
        <w:rPr>
          <w:rFonts w:cstheme="minorHAnsi"/>
        </w:rPr>
      </w:pPr>
      <w:r w:rsidRPr="00EB6311">
        <w:rPr>
          <w:rFonts w:cstheme="minorHAnsi"/>
        </w:rPr>
        <w:t xml:space="preserve"> </w:t>
      </w:r>
    </w:p>
    <w:p w14:paraId="54E55E80" w14:textId="77777777" w:rsidR="00BB70BF" w:rsidRPr="00EB6311" w:rsidRDefault="00BB70BF" w:rsidP="007F610C">
      <w:pPr>
        <w:spacing w:after="0"/>
        <w:jc w:val="both"/>
        <w:rPr>
          <w:rFonts w:cstheme="minorHAnsi"/>
        </w:rPr>
      </w:pPr>
      <w:r w:rsidRPr="00EB6311">
        <w:rPr>
          <w:rFonts w:cstheme="minorHAnsi"/>
        </w:rPr>
        <w:t xml:space="preserve">Rashodi financirani s izvora 43 odnose se na prijenos (transfer) propisanih udjela prihoda državnog proračuna od uplaćenih propisanih nacionalnih naknada za održavanje u vrijednosti patenata od strane nositelja onih Europskih patenata koji se odnose na Republiku Hrvatsku, propisanih naknada za međunarodni postupak prijave patenta temeljem međunarodnog Ugovora o suradnji u području patenata (tzv. Ugovor PCT) od strane domaćih podnositelja te naknade podnositelja nacionalnih patenata za tražene posebne stručne usluge Europske patentne organizacije, prema Europskoj patentnoj organizaciji i Svjetskoj organizaciji za intelektualno vlasništvo sukladno međunarodnim obvezama Republike Hrvatske. Isti su planirani u iznosu 1.061.782 EUR u 2023. godini. Sukladno projekcijama rasta na temelju kumulativnog broja prava i procijenjenih trendova planirani su i iznosi u 2024. godini i 2025. godini. </w:t>
      </w:r>
    </w:p>
    <w:p w14:paraId="7E674184" w14:textId="77777777" w:rsidR="00BB70BF" w:rsidRPr="00EB6311" w:rsidRDefault="00BB70BF" w:rsidP="007F610C">
      <w:pPr>
        <w:spacing w:after="0"/>
        <w:jc w:val="both"/>
        <w:rPr>
          <w:rFonts w:cstheme="minorHAnsi"/>
        </w:rPr>
      </w:pPr>
    </w:p>
    <w:p w14:paraId="5A49702B" w14:textId="77777777" w:rsidR="00BB70BF" w:rsidRPr="00EB6311" w:rsidRDefault="00BB70BF" w:rsidP="007F610C">
      <w:pPr>
        <w:spacing w:after="0"/>
        <w:jc w:val="both"/>
        <w:rPr>
          <w:rFonts w:cstheme="minorHAnsi"/>
        </w:rPr>
      </w:pPr>
      <w:r w:rsidRPr="00EB6311">
        <w:rPr>
          <w:rFonts w:cstheme="minorHAnsi"/>
        </w:rPr>
        <w:lastRenderedPageBreak/>
        <w:t xml:space="preserve">Planirani rashodi financirani s izvora 51 odnose se na troškove planiranih službenih putovanja zaposlenika DZIV-a za potrebe predstavljanja Republike Hrvatske na sastancima stručnih i radnih tijela Europske unije te dijelom refundirana od strane istih, za sve tri godine planiranja u jednakom iznosu od 6.636 EUR, te na trošak plaće privremeno izaslane zaposlenice na radu u tijelu EU-a (Uredu Europske unije za intelektualno vlasništvo), koji istječe sredinom 2023. godine, u iznosu od 13.272 EUR. </w:t>
      </w:r>
    </w:p>
    <w:p w14:paraId="4E610E57" w14:textId="77777777" w:rsidR="00BB70BF" w:rsidRPr="00EB6311" w:rsidRDefault="00BB70BF" w:rsidP="007F610C">
      <w:pPr>
        <w:spacing w:after="0"/>
        <w:jc w:val="both"/>
        <w:rPr>
          <w:rFonts w:cstheme="minorHAnsi"/>
        </w:rPr>
      </w:pPr>
    </w:p>
    <w:p w14:paraId="7C700EF2" w14:textId="77777777" w:rsidR="00BB70BF" w:rsidRPr="00EB6311" w:rsidRDefault="00BB70BF" w:rsidP="007F610C">
      <w:pPr>
        <w:jc w:val="both"/>
        <w:rPr>
          <w:rFonts w:cstheme="minorHAnsi"/>
        </w:rPr>
      </w:pPr>
      <w:r w:rsidRPr="00EB6311">
        <w:rPr>
          <w:rFonts w:cstheme="minorHAnsi"/>
        </w:rPr>
        <w:t xml:space="preserve">Rashodi za službena putovanja zaposlenika DZIV-a kao predstavnika Republike Hrvatske na sastanke stručnih i upravljačkih tijela Europske patentne organizacije te radnih grupa Europskog patentnog ureda kao izvršnog tijela te organizacije financiraju se s izvora 52 te su refundirani od strane Europskog patentnog ureda i predstavljaju najveći dio rashoda unutar ovog izvora (70%). Preostali udio u ovim rashodima čine planirani rashodi za druge aktivnosti koje se provode u suradnji s međunarodnim organizacijama (stručno usavršavanje zaposlenika DZIV-a putem programa međunarodnih organizacija, zajednička organizacija stručnih događanja i po potrebi angažmana vanjskih konzultanata na suradničkim aktivnostima i sl.). </w:t>
      </w:r>
    </w:p>
    <w:p w14:paraId="71FA56F7" w14:textId="77777777" w:rsidR="00BB70BF" w:rsidRPr="00EB6311" w:rsidRDefault="00BB70BF" w:rsidP="007F610C">
      <w:pPr>
        <w:jc w:val="both"/>
        <w:rPr>
          <w:rFonts w:cstheme="minorHAnsi"/>
        </w:rPr>
      </w:pPr>
    </w:p>
    <w:p w14:paraId="2BE74814" w14:textId="7DA7CC95" w:rsidR="00BB70BF" w:rsidRPr="00EB6311" w:rsidRDefault="00BB70BF" w:rsidP="0079377D">
      <w:pPr>
        <w:pStyle w:val="Heading3"/>
        <w:rPr>
          <w:rFonts w:asciiTheme="minorHAnsi" w:hAnsiTheme="minorHAnsi" w:cstheme="minorHAnsi"/>
          <w:lang w:val="hr-HR"/>
        </w:rPr>
      </w:pPr>
      <w:r w:rsidRPr="00EB6311">
        <w:rPr>
          <w:rFonts w:asciiTheme="minorHAnsi" w:hAnsiTheme="minorHAnsi" w:cstheme="minorHAnsi"/>
          <w:lang w:val="hr-HR"/>
        </w:rPr>
        <w:t xml:space="preserve">T763005 SURADNJA DZIV-a S </w:t>
      </w:r>
      <w:r w:rsidR="00013AFC" w:rsidRPr="00EB6311">
        <w:rPr>
          <w:rFonts w:asciiTheme="minorHAnsi" w:hAnsiTheme="minorHAnsi" w:cstheme="minorHAnsi"/>
          <w:lang w:val="hr-HR"/>
        </w:rPr>
        <w:t xml:space="preserve">EUROPSKIM </w:t>
      </w:r>
      <w:r w:rsidRPr="00EB6311">
        <w:rPr>
          <w:rFonts w:asciiTheme="minorHAnsi" w:hAnsiTheme="minorHAnsi" w:cstheme="minorHAnsi"/>
          <w:lang w:val="hr-HR"/>
        </w:rPr>
        <w:t xml:space="preserve">UREDOM ZA </w:t>
      </w:r>
      <w:r w:rsidR="00013AFC" w:rsidRPr="00EB6311">
        <w:rPr>
          <w:rFonts w:asciiTheme="minorHAnsi" w:hAnsiTheme="minorHAnsi" w:cstheme="minorHAnsi"/>
          <w:lang w:val="hr-HR"/>
        </w:rPr>
        <w:t>ŽIGOVE I DIZAJN</w:t>
      </w:r>
    </w:p>
    <w:p w14:paraId="62C4F4F7" w14:textId="77777777" w:rsidR="00BB70BF" w:rsidRPr="00EB6311" w:rsidRDefault="00BB70BF" w:rsidP="00BB70BF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eastAsia="Times New Roman" w:cstheme="minorHAnsi"/>
          <w:b/>
          <w:szCs w:val="20"/>
        </w:rPr>
      </w:pPr>
      <w:r w:rsidRPr="00EB6311">
        <w:rPr>
          <w:rFonts w:eastAsia="Times New Roman" w:cstheme="minorHAnsi"/>
          <w:b/>
          <w:szCs w:val="20"/>
        </w:rPr>
        <w:t>Zakonske i druge pravne osnove</w:t>
      </w:r>
    </w:p>
    <w:p w14:paraId="38F68F6F" w14:textId="3D4959F7" w:rsidR="00BB70BF" w:rsidRPr="00EB6311" w:rsidRDefault="00BB70BF" w:rsidP="007F610C">
      <w:pPr>
        <w:rPr>
          <w:rFonts w:cstheme="minorHAnsi"/>
        </w:rPr>
      </w:pPr>
      <w:r w:rsidRPr="00EB6311">
        <w:rPr>
          <w:rFonts w:cstheme="minorHAnsi"/>
        </w:rPr>
        <w:t>Uredba (EU) 2017/1001 Europskog parlamenta i Vijeća od 14. lipnja 2017. o žigu Europske unije, članak. 152.</w:t>
      </w:r>
      <w:r w:rsidR="00013AFC" w:rsidRPr="00EB6311">
        <w:rPr>
          <w:rFonts w:eastAsia="Calibri" w:cstheme="minorHAnsi"/>
        </w:rPr>
        <w:t xml:space="preserve"> 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1505"/>
        <w:gridCol w:w="1603"/>
        <w:gridCol w:w="1600"/>
        <w:gridCol w:w="1600"/>
        <w:gridCol w:w="1600"/>
        <w:gridCol w:w="1600"/>
        <w:gridCol w:w="698"/>
      </w:tblGrid>
      <w:tr w:rsidR="009A1A1A" w:rsidRPr="00EB6311" w14:paraId="134981D9" w14:textId="77777777" w:rsidTr="006357A5">
        <w:trPr>
          <w:jc w:val="center"/>
        </w:trPr>
        <w:tc>
          <w:tcPr>
            <w:tcW w:w="1530" w:type="dxa"/>
            <w:shd w:val="clear" w:color="auto" w:fill="B5C0D8"/>
          </w:tcPr>
          <w:p w14:paraId="420D1F2A" w14:textId="77777777" w:rsidR="00013AFC" w:rsidRPr="00EB6311" w:rsidRDefault="00013AFC" w:rsidP="00E018D6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65E957C9" w14:textId="5630DB9C" w:rsidR="00BB70BF" w:rsidRPr="00EB6311" w:rsidRDefault="00BB70BF" w:rsidP="007F610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32" w:type="dxa"/>
            <w:shd w:val="clear" w:color="auto" w:fill="B5C0D8"/>
          </w:tcPr>
          <w:p w14:paraId="43D99848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Izvršenje 2021.</w:t>
            </w:r>
          </w:p>
        </w:tc>
        <w:tc>
          <w:tcPr>
            <w:tcW w:w="1632" w:type="dxa"/>
            <w:shd w:val="clear" w:color="auto" w:fill="B5C0D8"/>
          </w:tcPr>
          <w:p w14:paraId="0DB3C8F8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2022.</w:t>
            </w:r>
          </w:p>
        </w:tc>
        <w:tc>
          <w:tcPr>
            <w:tcW w:w="1632" w:type="dxa"/>
            <w:shd w:val="clear" w:color="auto" w:fill="B5C0D8"/>
          </w:tcPr>
          <w:p w14:paraId="45317828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2023.</w:t>
            </w:r>
          </w:p>
        </w:tc>
        <w:tc>
          <w:tcPr>
            <w:tcW w:w="1632" w:type="dxa"/>
            <w:shd w:val="clear" w:color="auto" w:fill="B5C0D8"/>
          </w:tcPr>
          <w:p w14:paraId="15DB7ADD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2024.</w:t>
            </w:r>
          </w:p>
        </w:tc>
        <w:tc>
          <w:tcPr>
            <w:tcW w:w="1632" w:type="dxa"/>
            <w:shd w:val="clear" w:color="auto" w:fill="B5C0D8"/>
          </w:tcPr>
          <w:p w14:paraId="20052C15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Plan 2025.</w:t>
            </w:r>
          </w:p>
        </w:tc>
        <w:tc>
          <w:tcPr>
            <w:tcW w:w="510" w:type="dxa"/>
            <w:shd w:val="clear" w:color="auto" w:fill="B5C0D8"/>
          </w:tcPr>
          <w:p w14:paraId="0178D329" w14:textId="361EC3B4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 xml:space="preserve">Indeks </w:t>
            </w:r>
            <w:r w:rsidR="00013AFC" w:rsidRPr="00EB6311">
              <w:rPr>
                <w:rFonts w:asciiTheme="minorHAnsi" w:hAnsiTheme="minorHAnsi" w:cstheme="minorHAnsi"/>
                <w:szCs w:val="20"/>
              </w:rPr>
              <w:t>2</w:t>
            </w:r>
            <w:r w:rsidR="008A0749" w:rsidRPr="00EB6311">
              <w:rPr>
                <w:rFonts w:asciiTheme="minorHAnsi" w:hAnsiTheme="minorHAnsi" w:cstheme="minorHAnsi"/>
                <w:szCs w:val="20"/>
              </w:rPr>
              <w:t>3</w:t>
            </w:r>
            <w:r w:rsidR="00013AFC" w:rsidRPr="00EB6311">
              <w:rPr>
                <w:rFonts w:asciiTheme="minorHAnsi" w:hAnsiTheme="minorHAnsi" w:cstheme="minorHAnsi"/>
                <w:szCs w:val="20"/>
              </w:rPr>
              <w:t>./2</w:t>
            </w:r>
            <w:r w:rsidR="008A0749" w:rsidRPr="00EB6311">
              <w:rPr>
                <w:rFonts w:asciiTheme="minorHAnsi" w:hAnsiTheme="minorHAnsi" w:cstheme="minorHAnsi"/>
                <w:szCs w:val="20"/>
              </w:rPr>
              <w:t>2</w:t>
            </w:r>
            <w:r w:rsidR="00013AFC" w:rsidRPr="00EB6311"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  <w:tr w:rsidR="007F610C" w:rsidRPr="00EB6311" w14:paraId="44E0340F" w14:textId="77777777" w:rsidTr="006357A5">
        <w:trPr>
          <w:jc w:val="center"/>
        </w:trPr>
        <w:tc>
          <w:tcPr>
            <w:tcW w:w="1530" w:type="dxa"/>
            <w:vAlign w:val="top"/>
          </w:tcPr>
          <w:p w14:paraId="06070CEC" w14:textId="77777777" w:rsidR="00BB70BF" w:rsidRPr="00EB6311" w:rsidRDefault="00BB70BF" w:rsidP="007F610C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T763005</w:t>
            </w:r>
          </w:p>
        </w:tc>
        <w:tc>
          <w:tcPr>
            <w:tcW w:w="1632" w:type="dxa"/>
            <w:vAlign w:val="top"/>
          </w:tcPr>
          <w:p w14:paraId="5787635B" w14:textId="06A9AE73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58.945</w:t>
            </w:r>
          </w:p>
        </w:tc>
        <w:tc>
          <w:tcPr>
            <w:tcW w:w="1632" w:type="dxa"/>
            <w:vAlign w:val="top"/>
          </w:tcPr>
          <w:p w14:paraId="7FFB834B" w14:textId="687BDA63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118.224</w:t>
            </w:r>
          </w:p>
        </w:tc>
        <w:tc>
          <w:tcPr>
            <w:tcW w:w="1632" w:type="dxa"/>
            <w:vAlign w:val="top"/>
          </w:tcPr>
          <w:p w14:paraId="6EE8C5AF" w14:textId="46C2BAD5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264.728</w:t>
            </w:r>
          </w:p>
        </w:tc>
        <w:tc>
          <w:tcPr>
            <w:tcW w:w="1632" w:type="dxa"/>
            <w:vAlign w:val="top"/>
          </w:tcPr>
          <w:p w14:paraId="72F4CB13" w14:textId="27CCD898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279.098</w:t>
            </w:r>
          </w:p>
        </w:tc>
        <w:tc>
          <w:tcPr>
            <w:tcW w:w="1632" w:type="dxa"/>
            <w:vAlign w:val="top"/>
          </w:tcPr>
          <w:p w14:paraId="341F8586" w14:textId="7B876E8C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305.503</w:t>
            </w:r>
          </w:p>
        </w:tc>
        <w:tc>
          <w:tcPr>
            <w:tcW w:w="510" w:type="dxa"/>
            <w:vAlign w:val="top"/>
          </w:tcPr>
          <w:p w14:paraId="385235A1" w14:textId="0848A3EF" w:rsidR="00BB70BF" w:rsidRPr="00EB6311" w:rsidRDefault="00073ED9" w:rsidP="00073ED9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223,9</w:t>
            </w:r>
          </w:p>
        </w:tc>
      </w:tr>
    </w:tbl>
    <w:p w14:paraId="683A03BB" w14:textId="77777777" w:rsidR="00BB70BF" w:rsidRPr="00EB6311" w:rsidRDefault="00BB70BF" w:rsidP="007F610C">
      <w:pPr>
        <w:rPr>
          <w:rFonts w:cstheme="minorHAnsi"/>
        </w:rPr>
      </w:pPr>
    </w:p>
    <w:p w14:paraId="14AE0670" w14:textId="56074C3F" w:rsidR="00BB70BF" w:rsidRPr="00EB6311" w:rsidRDefault="00BB70BF" w:rsidP="0079377D">
      <w:pPr>
        <w:jc w:val="both"/>
        <w:rPr>
          <w:rFonts w:cstheme="minorHAnsi"/>
        </w:rPr>
      </w:pPr>
      <w:r w:rsidRPr="00EB6311">
        <w:rPr>
          <w:rFonts w:cstheme="minorHAnsi"/>
        </w:rPr>
        <w:t xml:space="preserve">Temeljem ugovora o suradnji s Uredom Europske unije za intelektualno vlasništvo (EUIPO) i Državnog zavoda za intelektualno vlasništvo, koji se sklapaju na godišnjoj razini, provodi se suradnja propisana člankom 152. Uredbe (EU) 2017/1001 Europskog parlamenta i Vijeća od 14. lipnja 2017. o žigu Europske unije. Sukladno članku 152., EUIPO i središnji uredi za industrijsko vlasništvo država članica i Ured Beneluksa za intelektualno vlasništvo međusobno dobrovoljno surađuju radi promicanja konvergencije praksi i alata u području žigova i dizajna. Ta suradnja posebno obuhvaća: </w:t>
      </w:r>
    </w:p>
    <w:p w14:paraId="7339A092" w14:textId="64B537FF" w:rsidR="00BB70BF" w:rsidRPr="00EB6311" w:rsidRDefault="00BB70BF" w:rsidP="0079377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razvoj zajedničkih standarda ispitivanja prijava za registraciju žigova; </w:t>
      </w:r>
    </w:p>
    <w:p w14:paraId="04D1EF7D" w14:textId="7B8C5853" w:rsidR="00BB70BF" w:rsidRPr="00EB6311" w:rsidRDefault="00BB70BF" w:rsidP="0079377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stvaranje zajedničkih ili povezanih baza podataka i portala u svrhu pregleda, pretraživanja i klasifikacije žigova diljem EU-a; </w:t>
      </w:r>
    </w:p>
    <w:p w14:paraId="04DD3800" w14:textId="01B96A72" w:rsidR="00BB70BF" w:rsidRPr="00EB6311" w:rsidRDefault="00BB70BF" w:rsidP="0079377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stalno pružanje i razmjenu podataka i informacija, uključujući i radi popunjavanja baza podataka i portala iz točke (b); </w:t>
      </w:r>
    </w:p>
    <w:p w14:paraId="35BA0435" w14:textId="340B4410" w:rsidR="00BB70BF" w:rsidRPr="00EB6311" w:rsidRDefault="00BB70BF" w:rsidP="0079377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uspostavljanje zajedničkih standarda i praksi kako bi se osigurala interoperabilnost između postupaka i sustava diljem EU-a te poboljšala njihova dosljednost, učinkovitost i djelotvornost; </w:t>
      </w:r>
    </w:p>
    <w:p w14:paraId="3C40458A" w14:textId="1E46D1A2" w:rsidR="00BB70BF" w:rsidRPr="00EB6311" w:rsidRDefault="00BB70BF" w:rsidP="0079377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dijeljenje informacija o pravima industrijskog vlasništva i postupcima, uključujući uzajamnu potporu službama za pomoć i informacijskim centrima; </w:t>
      </w:r>
    </w:p>
    <w:p w14:paraId="08B88246" w14:textId="7500AB5A" w:rsidR="00BB70BF" w:rsidRPr="00EB6311" w:rsidRDefault="00BB70BF" w:rsidP="0079377D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B6311">
        <w:rPr>
          <w:rFonts w:cstheme="minorHAnsi"/>
        </w:rPr>
        <w:t xml:space="preserve">razmjenu stručnih tehničkih znanja i pomoći u vezi s područjima iz točaka od (a) do (e).  </w:t>
      </w:r>
    </w:p>
    <w:p w14:paraId="296A6151" w14:textId="79533B4C" w:rsidR="00BB70BF" w:rsidRPr="00EB6311" w:rsidRDefault="00BB70BF" w:rsidP="0079377D">
      <w:pPr>
        <w:jc w:val="both"/>
        <w:rPr>
          <w:rFonts w:cstheme="minorHAnsi"/>
        </w:rPr>
      </w:pPr>
      <w:r w:rsidRPr="00EB6311">
        <w:rPr>
          <w:rFonts w:cstheme="minorHAnsi"/>
        </w:rPr>
        <w:lastRenderedPageBreak/>
        <w:t>EUIPO  financijski podupire ove projekte u mjeri u kojoj je to potrebno kako bi se osiguralo učinkovito sudjelovanje središnjih ureda za industrijsko vlasništvo država članica i Ureda Beneluksa za intelektualno vlasništvo u tim projektima. Ta financijska potpora može biti u obliku biti bespovratnih sredstava i doprinosa u naravi. Korisnici bespovratnih sredstava jesu središnji uredi za industrijsko vlasništvo država članica i Ured Beneluksa za intelektualno vlasništvo. Bespovratna sredstva mogu se dodijeliti bez poziva za dostavu prijedloga u skladu s financijskim pravilima primjenjivima na EUIPO i s načelima postupaka dodjele bespovratnih sredstava sadržanima u Uredbi (EU, Euratom) br. 966/2012 Europskog parlamenta i Vijeća te u Delegiranoj uredbi Komisije (EU) br. 1268/2012. Uz to, EUIPO  i relevantna nadležna tijela država članica dobrovoljno međusobno surađuju na promicanju podizanja svijesti o sustavu žigova i borbi protiv krivotvorenja. Takva suradnja uključuje projekte koji su posebno usmjereni na provedbu uspostavljenih standarda i prakse, kao i na organiziranje obrazovnih aktivnosti i aktivnosti osposobljavanja. Financijska potpora za te projekte primjenjuju se na odgovarajući način kao i za prethodno navedene projekte.</w:t>
      </w:r>
    </w:p>
    <w:p w14:paraId="71242881" w14:textId="0916DE34" w:rsidR="00BB70BF" w:rsidRPr="00EB6311" w:rsidRDefault="00BB70BF" w:rsidP="0079377D">
      <w:pPr>
        <w:jc w:val="both"/>
        <w:rPr>
          <w:rFonts w:cstheme="minorHAnsi"/>
        </w:rPr>
      </w:pPr>
      <w:r w:rsidRPr="00EB6311">
        <w:rPr>
          <w:rFonts w:cstheme="minorHAnsi"/>
        </w:rPr>
        <w:t xml:space="preserve">Financijski rashodi za ove aktivnosti financiraju se iz posebnih namjenskih prihoda temeljem namjenskih uplata Ureda Europske unije za intelektualno vlasništva (izvor 43), a planirana su sukladno ugovorenim aktivnostima koje se financiraju temeljem potpisanih ugovora za svaku godinu planiranja iz kojih proizlaze obveze DZIV-a. </w:t>
      </w:r>
    </w:p>
    <w:p w14:paraId="1332D307" w14:textId="77777777" w:rsidR="00BB70BF" w:rsidRPr="00EB6311" w:rsidRDefault="00BB70BF" w:rsidP="0079377D">
      <w:pPr>
        <w:jc w:val="both"/>
        <w:rPr>
          <w:rFonts w:cstheme="minorHAnsi"/>
        </w:rPr>
      </w:pPr>
      <w:r w:rsidRPr="00EB6311">
        <w:rPr>
          <w:rFonts w:cstheme="minorHAnsi"/>
          <w:b/>
        </w:rPr>
        <w:t>Planirana ugovorna suradnja u 2023.</w:t>
      </w:r>
      <w:r w:rsidRPr="00EB6311">
        <w:rPr>
          <w:rFonts w:cstheme="minorHAnsi"/>
        </w:rPr>
        <w:t xml:space="preserve"> godini obuhvaća suradnju na sljedećim programima: ECP1 Konsolidacija implementacije alata Europske mreže za intelektualno vlasništvo, ECP2 Unaprjeđenje i nadogradnja alata Europske mreže intelektualnog vlasništva (EUIPN), ECP4 Konvergencija praksi, ECP5 Održivost mreže, ECP6 Potpora malim i srednjim poduzećima i ECP8 Usluge suradnje. Navedeni programi provode se putem projekata i aktivnosti koji se ugovaraju za svaku kalendarsku godinu.</w:t>
      </w:r>
    </w:p>
    <w:p w14:paraId="1FD67841" w14:textId="77777777" w:rsidR="00BB70BF" w:rsidRPr="00EB6311" w:rsidRDefault="00BB70BF" w:rsidP="0079377D">
      <w:pPr>
        <w:jc w:val="both"/>
        <w:rPr>
          <w:rFonts w:cstheme="minorHAnsi"/>
        </w:rPr>
      </w:pPr>
      <w:r w:rsidRPr="00EB6311">
        <w:rPr>
          <w:rFonts w:cstheme="minorHAnsi"/>
        </w:rPr>
        <w:t>Najznačajniji rashodi u 2023. godini planiraju se za potrebe razvoja informacijskog sustava DZIV-a u svrhu provedbe zajedničkih projekata razvoja digitalnih alata,  razmjene podataka i informacija, osiguravanje kvalitete podataka i potrebne visoke razine neprekinute dostupnosti zajedničkih korisničkih servisa TMView i DesignView (sukladno s EUIPO-om ugovorenim standardima održavanja funkcionalnosti tih servisa, tzv. SLA), te za implementaciju prilagođenog informacijskog modela EUIPO-vog sustava za elektroničko podnošenje prijave za registraciju žiga, prijave za registraciju industrijskog dizajna i naknadnih e-usluga za žigove i industrijski dizajn prilagođenog poslovnim procesima DZIV-a i standardima zajedničke državne informatičke infrastrukture.</w:t>
      </w:r>
    </w:p>
    <w:p w14:paraId="01D01EBF" w14:textId="77777777" w:rsidR="00BB70BF" w:rsidRPr="00EB6311" w:rsidRDefault="00BB70BF" w:rsidP="0079377D">
      <w:pPr>
        <w:spacing w:after="0"/>
        <w:jc w:val="both"/>
        <w:rPr>
          <w:rFonts w:cstheme="minorHAnsi"/>
        </w:rPr>
      </w:pPr>
      <w:r w:rsidRPr="00EB6311">
        <w:rPr>
          <w:rFonts w:cstheme="minorHAnsi"/>
        </w:rPr>
        <w:t>Rashodi za nabavu nefinancijske imovine uključuju planirana sredstva u iznosu od  41.841 EUR za 2023., 22.928 EUR za 2024. te 27.142  EUR za 2025. godinu za nabavu potrebne  informatičko-komunikacijske opreme (prvenstveno računalne opreme).</w:t>
      </w:r>
    </w:p>
    <w:p w14:paraId="283843A7" w14:textId="77777777" w:rsidR="00BB70BF" w:rsidRPr="00EB6311" w:rsidRDefault="00BB70BF" w:rsidP="0079377D">
      <w:pPr>
        <w:spacing w:after="0"/>
        <w:jc w:val="both"/>
        <w:rPr>
          <w:rFonts w:cstheme="minorHAnsi"/>
        </w:rPr>
      </w:pPr>
    </w:p>
    <w:p w14:paraId="11883557" w14:textId="17036130" w:rsidR="00BB70BF" w:rsidRPr="00EB6311" w:rsidRDefault="00BB70BF" w:rsidP="0079377D">
      <w:pPr>
        <w:spacing w:after="0"/>
        <w:jc w:val="both"/>
        <w:rPr>
          <w:rFonts w:cstheme="minorHAnsi"/>
        </w:rPr>
      </w:pPr>
      <w:r w:rsidRPr="00924EAD">
        <w:rPr>
          <w:rFonts w:cstheme="minorHAnsi"/>
        </w:rPr>
        <w:t>Za sudjelovanje u programima usklađivanja zajedničke prakse (konvergencija praksi) i službena putovanja vezana uz provedbu programa planirana su sredstva za službena putovanja i stručno usavršavanje u godišnjem iznosu od  10.</w:t>
      </w:r>
      <w:r w:rsidRPr="00924EAD">
        <w:rPr>
          <w:rFonts w:eastAsia="Times New Roman" w:cstheme="minorHAnsi"/>
          <w:szCs w:val="20"/>
        </w:rPr>
        <w:t>551 EUR za 2023.</w:t>
      </w:r>
      <w:r w:rsidR="00176A88" w:rsidRPr="00924EAD">
        <w:rPr>
          <w:rFonts w:eastAsia="Times New Roman" w:cstheme="minorHAnsi"/>
          <w:szCs w:val="20"/>
        </w:rPr>
        <w:t xml:space="preserve"> </w:t>
      </w:r>
      <w:r w:rsidRPr="00924EAD">
        <w:rPr>
          <w:rFonts w:eastAsia="Times New Roman" w:cstheme="minorHAnsi"/>
          <w:szCs w:val="20"/>
        </w:rPr>
        <w:t>i 2024., i 10.</w:t>
      </w:r>
      <w:r w:rsidRPr="00924EAD">
        <w:rPr>
          <w:rFonts w:cstheme="minorHAnsi"/>
        </w:rPr>
        <w:t xml:space="preserve">618  EUR za </w:t>
      </w:r>
      <w:r w:rsidRPr="00924EAD">
        <w:rPr>
          <w:rFonts w:eastAsia="Times New Roman" w:cstheme="minorHAnsi"/>
          <w:szCs w:val="20"/>
        </w:rPr>
        <w:t>2025.godinu</w:t>
      </w:r>
      <w:r w:rsidRPr="00924EAD">
        <w:rPr>
          <w:rFonts w:cstheme="minorHAnsi"/>
        </w:rPr>
        <w:t xml:space="preserve">. </w:t>
      </w:r>
    </w:p>
    <w:p w14:paraId="317302A7" w14:textId="77777777" w:rsidR="00BB70BF" w:rsidRPr="00EB6311" w:rsidRDefault="00BB70BF" w:rsidP="0079377D">
      <w:pPr>
        <w:spacing w:after="0"/>
        <w:jc w:val="both"/>
        <w:rPr>
          <w:rFonts w:cstheme="minorHAnsi"/>
        </w:rPr>
      </w:pPr>
    </w:p>
    <w:p w14:paraId="2439956A" w14:textId="77777777" w:rsidR="00BB70BF" w:rsidRPr="00EB6311" w:rsidRDefault="00BB70BF" w:rsidP="0079377D">
      <w:pPr>
        <w:jc w:val="both"/>
        <w:rPr>
          <w:rFonts w:cstheme="minorHAnsi"/>
        </w:rPr>
      </w:pPr>
      <w:r w:rsidRPr="00EB6311">
        <w:rPr>
          <w:rFonts w:cstheme="minorHAnsi"/>
        </w:rPr>
        <w:t>Sredstva u godišnjem iznosu od 19.908 EUR planirana su za rashode za usluge promidžbe i informiranja  jednako za sve tri godine planiranja. Usluge promidžbe i informiranja uključuju usluge praćenja i analize objava o intelektualnom vlasništvu u medijima radi praćenja učinka djelatnosti i projektnih aktivnosti, u iznosu od 3.318 EUR, te usluge provođenja komunikacije u vezi djelatnosti i projektnih aktivnosti na društvenim mrežama, u iznosu od 16.590 EUR.</w:t>
      </w:r>
    </w:p>
    <w:p w14:paraId="5025C7B1" w14:textId="77777777" w:rsidR="00BB70BF" w:rsidRPr="00EB6311" w:rsidRDefault="00BB70BF" w:rsidP="0079377D">
      <w:pPr>
        <w:jc w:val="both"/>
        <w:rPr>
          <w:rFonts w:cstheme="minorHAnsi"/>
        </w:rPr>
      </w:pPr>
      <w:r w:rsidRPr="00EB6311">
        <w:rPr>
          <w:rFonts w:cstheme="minorHAnsi"/>
        </w:rPr>
        <w:t xml:space="preserve">Za informacijsko-promotivne nastupe DZIV-a na javnim priredbama s ciljem poticanja korištenja sustava zaštite intelektualnog vlasništva radi povećanja učinkovitosti inovacijskih i tržišnih aktivnosti </w:t>
      </w:r>
      <w:r w:rsidRPr="00EB6311">
        <w:rPr>
          <w:rFonts w:cstheme="minorHAnsi"/>
        </w:rPr>
        <w:lastRenderedPageBreak/>
        <w:t>poduzeća i drugih subjekata u 2023. godini planirani su rashodi u iznosu od ukupno  2.426 EUR. Jednaki okvirni godišnji iznosi su planirani i u projekcijama za daljnje dvije godine.</w:t>
      </w:r>
    </w:p>
    <w:p w14:paraId="546AB661" w14:textId="77777777" w:rsidR="00BB70BF" w:rsidRPr="00EB6311" w:rsidRDefault="00BB70BF" w:rsidP="0079377D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cstheme="minorHAnsi"/>
          <w:b/>
        </w:rPr>
      </w:pPr>
    </w:p>
    <w:p w14:paraId="1CE3825B" w14:textId="77777777" w:rsidR="00BB70BF" w:rsidRPr="00EB6311" w:rsidRDefault="00BB70BF" w:rsidP="00BB70BF">
      <w:pPr>
        <w:keepNext/>
        <w:keepLines/>
        <w:overflowPunct w:val="0"/>
        <w:autoSpaceDE w:val="0"/>
        <w:autoSpaceDN w:val="0"/>
        <w:adjustRightInd w:val="0"/>
        <w:spacing w:after="120" w:line="240" w:lineRule="auto"/>
        <w:textAlignment w:val="baseline"/>
        <w:outlineLvl w:val="7"/>
        <w:rPr>
          <w:rFonts w:eastAsia="Times New Roman" w:cstheme="minorHAnsi"/>
          <w:b/>
          <w:szCs w:val="20"/>
        </w:rPr>
      </w:pPr>
      <w:r w:rsidRPr="00EB6311">
        <w:rPr>
          <w:rFonts w:eastAsia="Times New Roman" w:cstheme="minorHAnsi"/>
          <w:b/>
          <w:szCs w:val="20"/>
        </w:rPr>
        <w:t>Pokazatelji rezultata</w:t>
      </w:r>
    </w:p>
    <w:tbl>
      <w:tblPr>
        <w:tblStyle w:val="StilTablice"/>
        <w:tblW w:w="10206" w:type="dxa"/>
        <w:jc w:val="center"/>
        <w:tblLook w:val="04A0" w:firstRow="1" w:lastRow="0" w:firstColumn="1" w:lastColumn="0" w:noHBand="0" w:noVBand="1"/>
      </w:tblPr>
      <w:tblGrid>
        <w:gridCol w:w="2282"/>
        <w:gridCol w:w="2282"/>
        <w:gridCol w:w="933"/>
        <w:gridCol w:w="944"/>
        <w:gridCol w:w="933"/>
        <w:gridCol w:w="944"/>
        <w:gridCol w:w="944"/>
        <w:gridCol w:w="944"/>
      </w:tblGrid>
      <w:tr w:rsidR="009A1A1A" w:rsidRPr="00EB6311" w14:paraId="56B8D22C" w14:textId="77777777" w:rsidTr="006357A5">
        <w:trPr>
          <w:jc w:val="center"/>
        </w:trPr>
        <w:tc>
          <w:tcPr>
            <w:tcW w:w="2245" w:type="dxa"/>
            <w:shd w:val="clear" w:color="auto" w:fill="B5C0D8"/>
          </w:tcPr>
          <w:p w14:paraId="5F0C8BBD" w14:textId="77777777" w:rsidR="00BB70BF" w:rsidRPr="00EB6311" w:rsidRDefault="00BB70BF" w:rsidP="0079377D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Pokazatelj rezultata</w:t>
            </w:r>
          </w:p>
        </w:tc>
        <w:tc>
          <w:tcPr>
            <w:tcW w:w="2245" w:type="dxa"/>
            <w:shd w:val="clear" w:color="auto" w:fill="B5C0D8"/>
          </w:tcPr>
          <w:p w14:paraId="7F59B1B7" w14:textId="77777777" w:rsidR="00BB70BF" w:rsidRPr="00EB6311" w:rsidRDefault="00BB70BF" w:rsidP="0079377D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Definicija</w:t>
            </w:r>
          </w:p>
        </w:tc>
        <w:tc>
          <w:tcPr>
            <w:tcW w:w="918" w:type="dxa"/>
            <w:shd w:val="clear" w:color="auto" w:fill="B5C0D8"/>
          </w:tcPr>
          <w:p w14:paraId="2F03B470" w14:textId="77777777" w:rsidR="00BB70BF" w:rsidRPr="00EB6311" w:rsidRDefault="00BB70BF" w:rsidP="0079377D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Jedinica</w:t>
            </w:r>
          </w:p>
        </w:tc>
        <w:tc>
          <w:tcPr>
            <w:tcW w:w="918" w:type="dxa"/>
            <w:shd w:val="clear" w:color="auto" w:fill="B5C0D8"/>
          </w:tcPr>
          <w:p w14:paraId="3C2E0960" w14:textId="77777777" w:rsidR="00BB70BF" w:rsidRPr="00EB6311" w:rsidRDefault="00BB70BF" w:rsidP="0079377D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Polazna vrijednost</w:t>
            </w:r>
          </w:p>
        </w:tc>
        <w:tc>
          <w:tcPr>
            <w:tcW w:w="918" w:type="dxa"/>
            <w:shd w:val="clear" w:color="auto" w:fill="B5C0D8"/>
          </w:tcPr>
          <w:p w14:paraId="4D2A75CD" w14:textId="77777777" w:rsidR="00BB70BF" w:rsidRPr="00EB6311" w:rsidRDefault="00BB70BF" w:rsidP="0079377D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>Izvor podataka</w:t>
            </w:r>
          </w:p>
        </w:tc>
        <w:tc>
          <w:tcPr>
            <w:tcW w:w="918" w:type="dxa"/>
            <w:shd w:val="clear" w:color="auto" w:fill="B5C0D8"/>
          </w:tcPr>
          <w:p w14:paraId="70F60FB6" w14:textId="2D7CCB1C" w:rsidR="00BB70BF" w:rsidRPr="00EB6311" w:rsidRDefault="00BB70BF" w:rsidP="0079377D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 xml:space="preserve">Ciljana vrijednost </w:t>
            </w:r>
            <w:r w:rsidR="00AE2C1F" w:rsidRPr="00EB6311">
              <w:rPr>
                <w:rFonts w:asciiTheme="minorHAnsi" w:hAnsiTheme="minorHAnsi" w:cstheme="minorHAnsi"/>
              </w:rPr>
              <w:t>za 202</w:t>
            </w:r>
            <w:r w:rsidR="002D4D98" w:rsidRPr="00EB6311">
              <w:rPr>
                <w:rFonts w:asciiTheme="minorHAnsi" w:hAnsiTheme="minorHAnsi" w:cstheme="minorHAnsi"/>
              </w:rPr>
              <w:t>3</w:t>
            </w:r>
            <w:r w:rsidR="00AE2C1F" w:rsidRPr="00EB631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8" w:type="dxa"/>
            <w:shd w:val="clear" w:color="auto" w:fill="B5C0D8"/>
          </w:tcPr>
          <w:p w14:paraId="2AC5BBF2" w14:textId="09688080" w:rsidR="00BB70BF" w:rsidRPr="00EB6311" w:rsidRDefault="00BB70BF" w:rsidP="0079377D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 xml:space="preserve">Ciljana vrijednost </w:t>
            </w:r>
            <w:r w:rsidR="00AE2C1F" w:rsidRPr="00EB6311">
              <w:rPr>
                <w:rFonts w:asciiTheme="minorHAnsi" w:hAnsiTheme="minorHAnsi" w:cstheme="minorHAnsi"/>
              </w:rPr>
              <w:t>za 202</w:t>
            </w:r>
            <w:r w:rsidR="002D4D98" w:rsidRPr="00EB6311">
              <w:rPr>
                <w:rFonts w:asciiTheme="minorHAnsi" w:hAnsiTheme="minorHAnsi" w:cstheme="minorHAnsi"/>
              </w:rPr>
              <w:t>4</w:t>
            </w:r>
            <w:r w:rsidR="00AE2C1F" w:rsidRPr="00EB631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18" w:type="dxa"/>
            <w:shd w:val="clear" w:color="auto" w:fill="B5C0D8"/>
          </w:tcPr>
          <w:p w14:paraId="7EC7EC15" w14:textId="21314B08" w:rsidR="00BB70BF" w:rsidRPr="00EB6311" w:rsidRDefault="00BB70BF" w:rsidP="0079377D">
            <w:pPr>
              <w:rPr>
                <w:rFonts w:asciiTheme="minorHAnsi" w:hAnsiTheme="minorHAnsi" w:cstheme="minorHAnsi"/>
              </w:rPr>
            </w:pPr>
            <w:r w:rsidRPr="00EB6311">
              <w:rPr>
                <w:rFonts w:asciiTheme="minorHAnsi" w:hAnsiTheme="minorHAnsi" w:cstheme="minorHAnsi"/>
              </w:rPr>
              <w:t xml:space="preserve">Ciljana vrijednost </w:t>
            </w:r>
            <w:r w:rsidR="00AE2C1F" w:rsidRPr="00EB6311">
              <w:rPr>
                <w:rFonts w:asciiTheme="minorHAnsi" w:hAnsiTheme="minorHAnsi" w:cstheme="minorHAnsi"/>
              </w:rPr>
              <w:t>za 202</w:t>
            </w:r>
            <w:r w:rsidR="002D4D98" w:rsidRPr="00EB6311">
              <w:rPr>
                <w:rFonts w:asciiTheme="minorHAnsi" w:hAnsiTheme="minorHAnsi" w:cstheme="minorHAnsi"/>
              </w:rPr>
              <w:t>5</w:t>
            </w:r>
            <w:r w:rsidR="00AE2C1F" w:rsidRPr="00EB6311">
              <w:rPr>
                <w:rFonts w:asciiTheme="minorHAnsi" w:hAnsiTheme="minorHAnsi" w:cstheme="minorHAnsi"/>
              </w:rPr>
              <w:t>.</w:t>
            </w:r>
          </w:p>
        </w:tc>
      </w:tr>
      <w:tr w:rsidR="009A1A1A" w:rsidRPr="00EB6311" w14:paraId="01F81351" w14:textId="77777777" w:rsidTr="006357A5">
        <w:trPr>
          <w:jc w:val="center"/>
        </w:trPr>
        <w:tc>
          <w:tcPr>
            <w:tcW w:w="2245" w:type="dxa"/>
            <w:vAlign w:val="top"/>
          </w:tcPr>
          <w:p w14:paraId="0B63B53C" w14:textId="77777777" w:rsidR="00BB70BF" w:rsidRPr="00EB6311" w:rsidRDefault="00BB70B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</w:rPr>
              <w:t>Postotak provedenih aktivnosti/projekata u odnosu na planirane temeljem godišnjih ugovora o suradnji s EUIPO-om (godišnje)</w:t>
            </w:r>
          </w:p>
        </w:tc>
        <w:tc>
          <w:tcPr>
            <w:tcW w:w="2245" w:type="dxa"/>
            <w:vAlign w:val="top"/>
          </w:tcPr>
          <w:p w14:paraId="0B2C6AB5" w14:textId="5483291E" w:rsidR="00BB70BF" w:rsidRPr="00EB6311" w:rsidRDefault="00AE2C1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  <w:iCs/>
                <w:szCs w:val="20"/>
              </w:rPr>
              <w:t>Postotak provedenih aktivnosti/projekata</w:t>
            </w:r>
            <w:r w:rsidR="00BB70BF" w:rsidRPr="00EB6311">
              <w:rPr>
                <w:rFonts w:asciiTheme="minorHAnsi" w:hAnsiTheme="minorHAnsi" w:cstheme="minorHAnsi"/>
                <w:i/>
              </w:rPr>
              <w:t xml:space="preserve"> u odnosu na planirane temeljem godišnjih ugovora o suradnji s EUIPO-om</w:t>
            </w:r>
          </w:p>
        </w:tc>
        <w:tc>
          <w:tcPr>
            <w:tcW w:w="918" w:type="dxa"/>
          </w:tcPr>
          <w:p w14:paraId="4206662A" w14:textId="77777777" w:rsidR="00BB70BF" w:rsidRPr="00EB6311" w:rsidRDefault="00BB70B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</w:rPr>
              <w:t>%</w:t>
            </w:r>
          </w:p>
        </w:tc>
        <w:tc>
          <w:tcPr>
            <w:tcW w:w="918" w:type="dxa"/>
          </w:tcPr>
          <w:p w14:paraId="0A8A2CE2" w14:textId="64E0C14C" w:rsidR="00BB70BF" w:rsidRPr="00EB6311" w:rsidRDefault="00BB70B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</w:rPr>
              <w:t>100</w:t>
            </w:r>
          </w:p>
          <w:p w14:paraId="71E8827C" w14:textId="69B2A572" w:rsidR="00BB70BF" w:rsidRPr="00EB6311" w:rsidRDefault="00BB70B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</w:rPr>
              <w:t>(</w:t>
            </w:r>
            <w:r w:rsidR="00341063" w:rsidRPr="00EB6311">
              <w:rPr>
                <w:rFonts w:asciiTheme="minorHAnsi" w:hAnsiTheme="minorHAnsi" w:cstheme="minorHAnsi"/>
                <w:i/>
              </w:rPr>
              <w:t>2021.</w:t>
            </w:r>
            <w:r w:rsidR="00AE2C1F" w:rsidRPr="00EB6311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918" w:type="dxa"/>
          </w:tcPr>
          <w:p w14:paraId="7FE2CB93" w14:textId="77777777" w:rsidR="00BB70BF" w:rsidRPr="00EB6311" w:rsidRDefault="00BB70B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</w:rPr>
              <w:t>DZIV</w:t>
            </w:r>
          </w:p>
        </w:tc>
        <w:tc>
          <w:tcPr>
            <w:tcW w:w="918" w:type="dxa"/>
          </w:tcPr>
          <w:p w14:paraId="3AA8C269" w14:textId="77777777" w:rsidR="00BB70BF" w:rsidRPr="00EB6311" w:rsidRDefault="00BB70B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</w:rPr>
              <w:t>100</w:t>
            </w:r>
          </w:p>
        </w:tc>
        <w:tc>
          <w:tcPr>
            <w:tcW w:w="918" w:type="dxa"/>
          </w:tcPr>
          <w:p w14:paraId="7737014B" w14:textId="77777777" w:rsidR="00BB70BF" w:rsidRPr="00EB6311" w:rsidRDefault="00BB70B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</w:rPr>
              <w:t>100</w:t>
            </w:r>
          </w:p>
        </w:tc>
        <w:tc>
          <w:tcPr>
            <w:tcW w:w="918" w:type="dxa"/>
          </w:tcPr>
          <w:p w14:paraId="1439A192" w14:textId="77777777" w:rsidR="00BB70BF" w:rsidRPr="00EB6311" w:rsidRDefault="00BB70BF" w:rsidP="0079377D">
            <w:pPr>
              <w:rPr>
                <w:rFonts w:asciiTheme="minorHAnsi" w:hAnsiTheme="minorHAnsi" w:cstheme="minorHAnsi"/>
                <w:i/>
              </w:rPr>
            </w:pPr>
            <w:r w:rsidRPr="00EB6311">
              <w:rPr>
                <w:rFonts w:asciiTheme="minorHAnsi" w:hAnsiTheme="minorHAnsi" w:cstheme="minorHAnsi"/>
                <w:i/>
              </w:rPr>
              <w:t>100</w:t>
            </w:r>
          </w:p>
        </w:tc>
      </w:tr>
    </w:tbl>
    <w:p w14:paraId="2509C386" w14:textId="77777777" w:rsidR="00215A47" w:rsidRPr="00EB6311" w:rsidRDefault="00215A47" w:rsidP="0079377D">
      <w:pPr>
        <w:jc w:val="both"/>
        <w:rPr>
          <w:rFonts w:cstheme="minorHAnsi"/>
        </w:rPr>
      </w:pPr>
    </w:p>
    <w:sectPr w:rsidR="00215A47" w:rsidRPr="00EB63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D4EAA" w14:textId="77777777" w:rsidR="007A730E" w:rsidRDefault="007A730E" w:rsidP="009A1A1A">
      <w:pPr>
        <w:spacing w:after="0" w:line="240" w:lineRule="auto"/>
      </w:pPr>
      <w:r>
        <w:separator/>
      </w:r>
    </w:p>
  </w:endnote>
  <w:endnote w:type="continuationSeparator" w:id="0">
    <w:p w14:paraId="67D5E5F3" w14:textId="77777777" w:rsidR="007A730E" w:rsidRDefault="007A730E" w:rsidP="009A1A1A">
      <w:pPr>
        <w:spacing w:after="0" w:line="240" w:lineRule="auto"/>
      </w:pPr>
      <w:r>
        <w:continuationSeparator/>
      </w:r>
    </w:p>
  </w:endnote>
  <w:endnote w:type="continuationNotice" w:id="1">
    <w:p w14:paraId="1B46EC96" w14:textId="77777777" w:rsidR="007A730E" w:rsidRDefault="007A73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5C5B4DCA" w14:textId="44883849" w:rsidR="00E018D6" w:rsidRDefault="00E018D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78">
          <w:rPr>
            <w:noProof/>
          </w:rPr>
          <w:t>8</w:t>
        </w:r>
        <w:r>
          <w:fldChar w:fldCharType="end"/>
        </w:r>
      </w:p>
    </w:sdtContent>
  </w:sdt>
  <w:p w14:paraId="477CCB95" w14:textId="7F00CA3C" w:rsidR="009A1A1A" w:rsidRDefault="009A1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15E96" w14:textId="77777777" w:rsidR="007A730E" w:rsidRDefault="007A730E" w:rsidP="009A1A1A">
      <w:pPr>
        <w:spacing w:after="0" w:line="240" w:lineRule="auto"/>
      </w:pPr>
      <w:r>
        <w:separator/>
      </w:r>
    </w:p>
  </w:footnote>
  <w:footnote w:type="continuationSeparator" w:id="0">
    <w:p w14:paraId="17478D8F" w14:textId="77777777" w:rsidR="007A730E" w:rsidRDefault="007A730E" w:rsidP="009A1A1A">
      <w:pPr>
        <w:spacing w:after="0" w:line="240" w:lineRule="auto"/>
      </w:pPr>
      <w:r>
        <w:continuationSeparator/>
      </w:r>
    </w:p>
  </w:footnote>
  <w:footnote w:type="continuationNotice" w:id="1">
    <w:p w14:paraId="56D7C070" w14:textId="77777777" w:rsidR="007A730E" w:rsidRDefault="007A73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30B"/>
    <w:multiLevelType w:val="hybridMultilevel"/>
    <w:tmpl w:val="D9368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5440"/>
    <w:multiLevelType w:val="hybridMultilevel"/>
    <w:tmpl w:val="E9702F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72E"/>
    <w:multiLevelType w:val="hybridMultilevel"/>
    <w:tmpl w:val="35205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0B48"/>
    <w:multiLevelType w:val="hybridMultilevel"/>
    <w:tmpl w:val="E3B89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7AAA"/>
    <w:multiLevelType w:val="hybridMultilevel"/>
    <w:tmpl w:val="5322944C"/>
    <w:lvl w:ilvl="0" w:tplc="5AFAC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B7C5A"/>
    <w:multiLevelType w:val="hybridMultilevel"/>
    <w:tmpl w:val="C26C284E"/>
    <w:lvl w:ilvl="0" w:tplc="23C22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862"/>
    <w:multiLevelType w:val="hybridMultilevel"/>
    <w:tmpl w:val="95BA7C40"/>
    <w:lvl w:ilvl="0" w:tplc="5AFAC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F13AF"/>
    <w:multiLevelType w:val="hybridMultilevel"/>
    <w:tmpl w:val="A07E8EB8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93943"/>
    <w:multiLevelType w:val="hybridMultilevel"/>
    <w:tmpl w:val="06A2F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BF"/>
    <w:rsid w:val="000060DD"/>
    <w:rsid w:val="00013AFC"/>
    <w:rsid w:val="00021B5C"/>
    <w:rsid w:val="00030327"/>
    <w:rsid w:val="00062691"/>
    <w:rsid w:val="00073ED9"/>
    <w:rsid w:val="000746BD"/>
    <w:rsid w:val="00087D53"/>
    <w:rsid w:val="00095E09"/>
    <w:rsid w:val="000C3375"/>
    <w:rsid w:val="000D08A5"/>
    <w:rsid w:val="000D1149"/>
    <w:rsid w:val="000D6FAB"/>
    <w:rsid w:val="00105F84"/>
    <w:rsid w:val="0011706F"/>
    <w:rsid w:val="00123CFD"/>
    <w:rsid w:val="00126901"/>
    <w:rsid w:val="00127651"/>
    <w:rsid w:val="001548F6"/>
    <w:rsid w:val="00175515"/>
    <w:rsid w:val="00176A88"/>
    <w:rsid w:val="001A6B7F"/>
    <w:rsid w:val="001A76E5"/>
    <w:rsid w:val="001B0F38"/>
    <w:rsid w:val="001B0F7A"/>
    <w:rsid w:val="001B3688"/>
    <w:rsid w:val="001C1EB2"/>
    <w:rsid w:val="001E6A9C"/>
    <w:rsid w:val="001F63EF"/>
    <w:rsid w:val="00215A47"/>
    <w:rsid w:val="00217FC6"/>
    <w:rsid w:val="00220BF7"/>
    <w:rsid w:val="00225FE5"/>
    <w:rsid w:val="00227D81"/>
    <w:rsid w:val="002313B2"/>
    <w:rsid w:val="0024303A"/>
    <w:rsid w:val="00251508"/>
    <w:rsid w:val="00257C5F"/>
    <w:rsid w:val="00260F00"/>
    <w:rsid w:val="002612CC"/>
    <w:rsid w:val="00261B1C"/>
    <w:rsid w:val="00273025"/>
    <w:rsid w:val="0027358D"/>
    <w:rsid w:val="0028554C"/>
    <w:rsid w:val="002A0E78"/>
    <w:rsid w:val="002A58B4"/>
    <w:rsid w:val="002B0199"/>
    <w:rsid w:val="002C4D35"/>
    <w:rsid w:val="002C624D"/>
    <w:rsid w:val="002C699D"/>
    <w:rsid w:val="002C7121"/>
    <w:rsid w:val="002D444E"/>
    <w:rsid w:val="002D4D98"/>
    <w:rsid w:val="002E6017"/>
    <w:rsid w:val="00302D5C"/>
    <w:rsid w:val="00303FFB"/>
    <w:rsid w:val="003156CF"/>
    <w:rsid w:val="003239CD"/>
    <w:rsid w:val="00324025"/>
    <w:rsid w:val="00341063"/>
    <w:rsid w:val="00375127"/>
    <w:rsid w:val="003B0C88"/>
    <w:rsid w:val="003B2CF0"/>
    <w:rsid w:val="003C0148"/>
    <w:rsid w:val="003C7401"/>
    <w:rsid w:val="003D5046"/>
    <w:rsid w:val="003F184E"/>
    <w:rsid w:val="00404D4D"/>
    <w:rsid w:val="00412F2D"/>
    <w:rsid w:val="00415D11"/>
    <w:rsid w:val="00420FCD"/>
    <w:rsid w:val="00421175"/>
    <w:rsid w:val="00423907"/>
    <w:rsid w:val="00426BA4"/>
    <w:rsid w:val="004331A6"/>
    <w:rsid w:val="00440AB2"/>
    <w:rsid w:val="00456A71"/>
    <w:rsid w:val="0046109A"/>
    <w:rsid w:val="004644D8"/>
    <w:rsid w:val="00474EAA"/>
    <w:rsid w:val="004A05F6"/>
    <w:rsid w:val="004A3F20"/>
    <w:rsid w:val="004A7AFD"/>
    <w:rsid w:val="004C1D9F"/>
    <w:rsid w:val="004C3A59"/>
    <w:rsid w:val="004E02C5"/>
    <w:rsid w:val="004E16C8"/>
    <w:rsid w:val="004E2B07"/>
    <w:rsid w:val="004E6D43"/>
    <w:rsid w:val="005004C0"/>
    <w:rsid w:val="0050185B"/>
    <w:rsid w:val="005046F1"/>
    <w:rsid w:val="00512C8E"/>
    <w:rsid w:val="00513E91"/>
    <w:rsid w:val="00534274"/>
    <w:rsid w:val="00553C25"/>
    <w:rsid w:val="005540EB"/>
    <w:rsid w:val="005574F3"/>
    <w:rsid w:val="00562A9D"/>
    <w:rsid w:val="00562EC6"/>
    <w:rsid w:val="00571253"/>
    <w:rsid w:val="005813CC"/>
    <w:rsid w:val="00585281"/>
    <w:rsid w:val="005D15F7"/>
    <w:rsid w:val="005F1414"/>
    <w:rsid w:val="00621EAA"/>
    <w:rsid w:val="00621F06"/>
    <w:rsid w:val="00623CB3"/>
    <w:rsid w:val="00627A54"/>
    <w:rsid w:val="00631017"/>
    <w:rsid w:val="00631530"/>
    <w:rsid w:val="00635777"/>
    <w:rsid w:val="00687B0B"/>
    <w:rsid w:val="006B077E"/>
    <w:rsid w:val="006C74DD"/>
    <w:rsid w:val="006D1752"/>
    <w:rsid w:val="006D5478"/>
    <w:rsid w:val="006E16F5"/>
    <w:rsid w:val="006E2D23"/>
    <w:rsid w:val="00700CAD"/>
    <w:rsid w:val="00703212"/>
    <w:rsid w:val="00715262"/>
    <w:rsid w:val="0072122D"/>
    <w:rsid w:val="007256CD"/>
    <w:rsid w:val="00742DF9"/>
    <w:rsid w:val="00750974"/>
    <w:rsid w:val="0075209D"/>
    <w:rsid w:val="00762F3E"/>
    <w:rsid w:val="00764E12"/>
    <w:rsid w:val="00770FBD"/>
    <w:rsid w:val="0077791E"/>
    <w:rsid w:val="00786F87"/>
    <w:rsid w:val="0079377D"/>
    <w:rsid w:val="007A5112"/>
    <w:rsid w:val="007A5D48"/>
    <w:rsid w:val="007A730E"/>
    <w:rsid w:val="007C06A8"/>
    <w:rsid w:val="007C1DA3"/>
    <w:rsid w:val="007C54E2"/>
    <w:rsid w:val="007C5C25"/>
    <w:rsid w:val="007C77A8"/>
    <w:rsid w:val="007D3613"/>
    <w:rsid w:val="007F2E08"/>
    <w:rsid w:val="007F4E5E"/>
    <w:rsid w:val="007F610C"/>
    <w:rsid w:val="008043DB"/>
    <w:rsid w:val="00804BFE"/>
    <w:rsid w:val="008223B8"/>
    <w:rsid w:val="008245F8"/>
    <w:rsid w:val="00827E98"/>
    <w:rsid w:val="00846E65"/>
    <w:rsid w:val="00864679"/>
    <w:rsid w:val="008750BD"/>
    <w:rsid w:val="0088128F"/>
    <w:rsid w:val="0089622D"/>
    <w:rsid w:val="008A0749"/>
    <w:rsid w:val="008A29FE"/>
    <w:rsid w:val="008A423D"/>
    <w:rsid w:val="008A59DD"/>
    <w:rsid w:val="008D2901"/>
    <w:rsid w:val="008F35BF"/>
    <w:rsid w:val="00910DFA"/>
    <w:rsid w:val="009119C3"/>
    <w:rsid w:val="0091655A"/>
    <w:rsid w:val="00921BDE"/>
    <w:rsid w:val="00924EAD"/>
    <w:rsid w:val="00942E5F"/>
    <w:rsid w:val="00962348"/>
    <w:rsid w:val="00987229"/>
    <w:rsid w:val="009919D6"/>
    <w:rsid w:val="009A1A1A"/>
    <w:rsid w:val="009A65A8"/>
    <w:rsid w:val="009B3931"/>
    <w:rsid w:val="009D4C68"/>
    <w:rsid w:val="009D71EA"/>
    <w:rsid w:val="009D7A1C"/>
    <w:rsid w:val="009E2203"/>
    <w:rsid w:val="009E371E"/>
    <w:rsid w:val="009E663E"/>
    <w:rsid w:val="009F1309"/>
    <w:rsid w:val="00A17868"/>
    <w:rsid w:val="00A367F7"/>
    <w:rsid w:val="00A36CFD"/>
    <w:rsid w:val="00A45644"/>
    <w:rsid w:val="00A47137"/>
    <w:rsid w:val="00A61783"/>
    <w:rsid w:val="00A61830"/>
    <w:rsid w:val="00A70138"/>
    <w:rsid w:val="00A829C7"/>
    <w:rsid w:val="00A836C6"/>
    <w:rsid w:val="00A877C1"/>
    <w:rsid w:val="00AA10EA"/>
    <w:rsid w:val="00AA570B"/>
    <w:rsid w:val="00AA6FFB"/>
    <w:rsid w:val="00AE2C1F"/>
    <w:rsid w:val="00AE3C5D"/>
    <w:rsid w:val="00AF3DAD"/>
    <w:rsid w:val="00AF7180"/>
    <w:rsid w:val="00B01207"/>
    <w:rsid w:val="00B12DEF"/>
    <w:rsid w:val="00B14AB4"/>
    <w:rsid w:val="00B175BC"/>
    <w:rsid w:val="00B20C3F"/>
    <w:rsid w:val="00B233DE"/>
    <w:rsid w:val="00B2430C"/>
    <w:rsid w:val="00B36FFF"/>
    <w:rsid w:val="00B54126"/>
    <w:rsid w:val="00B65B13"/>
    <w:rsid w:val="00B7598C"/>
    <w:rsid w:val="00B908B4"/>
    <w:rsid w:val="00B94A75"/>
    <w:rsid w:val="00BA4976"/>
    <w:rsid w:val="00BB47B9"/>
    <w:rsid w:val="00BB70BF"/>
    <w:rsid w:val="00BD7FDD"/>
    <w:rsid w:val="00BE741E"/>
    <w:rsid w:val="00BF168D"/>
    <w:rsid w:val="00BF3A22"/>
    <w:rsid w:val="00C00C53"/>
    <w:rsid w:val="00C30A98"/>
    <w:rsid w:val="00C319E9"/>
    <w:rsid w:val="00C42191"/>
    <w:rsid w:val="00C4317C"/>
    <w:rsid w:val="00C473DB"/>
    <w:rsid w:val="00C60400"/>
    <w:rsid w:val="00C61940"/>
    <w:rsid w:val="00C84559"/>
    <w:rsid w:val="00CA09DC"/>
    <w:rsid w:val="00CA79D3"/>
    <w:rsid w:val="00CB393E"/>
    <w:rsid w:val="00CB764D"/>
    <w:rsid w:val="00CC071C"/>
    <w:rsid w:val="00CC0E77"/>
    <w:rsid w:val="00CD191D"/>
    <w:rsid w:val="00CD4322"/>
    <w:rsid w:val="00CE13FF"/>
    <w:rsid w:val="00CF458B"/>
    <w:rsid w:val="00D104F9"/>
    <w:rsid w:val="00D12C92"/>
    <w:rsid w:val="00D21177"/>
    <w:rsid w:val="00D55546"/>
    <w:rsid w:val="00D70548"/>
    <w:rsid w:val="00D750FB"/>
    <w:rsid w:val="00D76ADE"/>
    <w:rsid w:val="00D97106"/>
    <w:rsid w:val="00DA7AFE"/>
    <w:rsid w:val="00DB176A"/>
    <w:rsid w:val="00DB2F1C"/>
    <w:rsid w:val="00DB5C08"/>
    <w:rsid w:val="00DC2FED"/>
    <w:rsid w:val="00DC36BF"/>
    <w:rsid w:val="00DC6492"/>
    <w:rsid w:val="00DF7221"/>
    <w:rsid w:val="00E018D6"/>
    <w:rsid w:val="00E10F32"/>
    <w:rsid w:val="00E16FD6"/>
    <w:rsid w:val="00E34DAE"/>
    <w:rsid w:val="00E45A20"/>
    <w:rsid w:val="00E553B1"/>
    <w:rsid w:val="00E575F1"/>
    <w:rsid w:val="00E81ECE"/>
    <w:rsid w:val="00E87063"/>
    <w:rsid w:val="00EA20A0"/>
    <w:rsid w:val="00EA4030"/>
    <w:rsid w:val="00EA40FC"/>
    <w:rsid w:val="00EB6311"/>
    <w:rsid w:val="00ED2B9A"/>
    <w:rsid w:val="00EE33DC"/>
    <w:rsid w:val="00EF05CF"/>
    <w:rsid w:val="00EF0A99"/>
    <w:rsid w:val="00EF79F8"/>
    <w:rsid w:val="00F12286"/>
    <w:rsid w:val="00F17D37"/>
    <w:rsid w:val="00F51C89"/>
    <w:rsid w:val="00F55444"/>
    <w:rsid w:val="00F815A6"/>
    <w:rsid w:val="00F90785"/>
    <w:rsid w:val="00F96C13"/>
    <w:rsid w:val="00FB79FE"/>
    <w:rsid w:val="00FC2E3D"/>
    <w:rsid w:val="00FC731C"/>
    <w:rsid w:val="00FD00BC"/>
    <w:rsid w:val="00FD4E6D"/>
    <w:rsid w:val="00FE2F77"/>
    <w:rsid w:val="00FF2625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A7516"/>
  <w15:chartTrackingRefBased/>
  <w15:docId w15:val="{69FC222E-3C6F-42F3-90F4-D167A9C3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A1A1A"/>
    <w:pPr>
      <w:keepNext/>
      <w:keepLines/>
      <w:pBdr>
        <w:top w:val="single" w:sz="4" w:space="1" w:color="auto"/>
        <w:bottom w:val="single" w:sz="4" w:space="1" w:color="auto"/>
      </w:pBdr>
      <w:shd w:val="clear" w:color="auto" w:fill="E6E6E6"/>
      <w:spacing w:after="120" w:line="288" w:lineRule="auto"/>
      <w:outlineLvl w:val="2"/>
    </w:pPr>
    <w:rPr>
      <w:rFonts w:ascii="Times New Roman" w:eastAsia="Times New Roman" w:hAnsi="Times New Roman" w:cs="Arial"/>
      <w:b/>
      <w:iCs/>
      <w:spacing w:val="20"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1A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1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ilTablice">
    <w:name w:val="StilTablice"/>
    <w:basedOn w:val="TableNormal"/>
    <w:uiPriority w:val="99"/>
    <w:rsid w:val="00BB70BF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character" w:customStyle="1" w:styleId="Heading3Char">
    <w:name w:val="Heading 3 Char"/>
    <w:basedOn w:val="DefaultParagraphFont"/>
    <w:link w:val="Heading3"/>
    <w:rsid w:val="009A1A1A"/>
    <w:rPr>
      <w:rFonts w:ascii="Times New Roman" w:eastAsia="Times New Roman" w:hAnsi="Times New Roman" w:cs="Arial"/>
      <w:b/>
      <w:iCs/>
      <w:spacing w:val="20"/>
      <w:sz w:val="28"/>
      <w:szCs w:val="28"/>
      <w:shd w:val="clear" w:color="auto" w:fill="E6E6E6"/>
      <w:lang w:val="sl-S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1A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1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nhideWhenUsed/>
    <w:rsid w:val="009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A1A1A"/>
  </w:style>
  <w:style w:type="table" w:styleId="TableGrid">
    <w:name w:val="Table Grid"/>
    <w:basedOn w:val="TableNormal"/>
    <w:uiPriority w:val="39"/>
    <w:rsid w:val="009A1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1A"/>
    <w:rPr>
      <w:rFonts w:ascii="Tahoma" w:hAnsi="Tahoma" w:cs="Tahoma"/>
      <w:sz w:val="16"/>
      <w:szCs w:val="16"/>
    </w:rPr>
  </w:style>
  <w:style w:type="paragraph" w:customStyle="1" w:styleId="CellHeader">
    <w:name w:val="CellHeader"/>
    <w:basedOn w:val="Normal"/>
    <w:qFormat/>
    <w:rsid w:val="009A1A1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bCs/>
      <w:sz w:val="20"/>
      <w:lang w:val="sl-SI" w:eastAsia="hr-HR"/>
    </w:rPr>
  </w:style>
  <w:style w:type="paragraph" w:customStyle="1" w:styleId="CellColumn">
    <w:name w:val="CellColumn"/>
    <w:basedOn w:val="CellHeader"/>
    <w:qFormat/>
    <w:rsid w:val="009A1A1A"/>
  </w:style>
  <w:style w:type="character" w:styleId="CommentReference">
    <w:name w:val="annotation reference"/>
    <w:basedOn w:val="DefaultParagraphFont"/>
    <w:uiPriority w:val="99"/>
    <w:semiHidden/>
    <w:unhideWhenUsed/>
    <w:rsid w:val="009A1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A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1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A1A"/>
  </w:style>
  <w:style w:type="table" w:customStyle="1" w:styleId="StilTablice1">
    <w:name w:val="StilTablice1"/>
    <w:basedOn w:val="TableNormal"/>
    <w:uiPriority w:val="99"/>
    <w:rsid w:val="009A1A1A"/>
    <w:pPr>
      <w:spacing w:after="120" w:line="240" w:lineRule="auto"/>
      <w:jc w:val="center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vAlign w:val="center"/>
    </w:tcPr>
  </w:style>
  <w:style w:type="paragraph" w:styleId="Revision">
    <w:name w:val="Revision"/>
    <w:hidden/>
    <w:uiPriority w:val="99"/>
    <w:semiHidden/>
    <w:rsid w:val="009A1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9264-695D-4270-A035-CAA43BCA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3266</Words>
  <Characters>18619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Tušek</dc:creator>
  <cp:keywords/>
  <dc:description/>
  <cp:lastModifiedBy>Tatjana Kostel Radošević</cp:lastModifiedBy>
  <cp:revision>4</cp:revision>
  <dcterms:created xsi:type="dcterms:W3CDTF">2023-02-09T15:21:00Z</dcterms:created>
  <dcterms:modified xsi:type="dcterms:W3CDTF">2023-02-10T07:10:00Z</dcterms:modified>
</cp:coreProperties>
</file>