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6D6F32" w14:paraId="05D2608B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6163418" w14:textId="77777777" w:rsidR="006D6F32" w:rsidRDefault="009C7B9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CD94255" w14:textId="77777777" w:rsidR="006D6F32" w:rsidRDefault="009C7B90">
            <w:pPr>
              <w:spacing w:after="0" w:line="240" w:lineRule="auto"/>
            </w:pPr>
            <w:r>
              <w:t>6179</w:t>
            </w:r>
          </w:p>
        </w:tc>
      </w:tr>
      <w:tr w:rsidR="006D6F32" w14:paraId="13545CF8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2CE67AB" w14:textId="77777777" w:rsidR="006D6F32" w:rsidRDefault="009C7B9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36C0DA5" w14:textId="77777777" w:rsidR="006D6F32" w:rsidRDefault="009C7B90">
            <w:pPr>
              <w:spacing w:after="0" w:line="240" w:lineRule="auto"/>
            </w:pPr>
            <w:r>
              <w:t>DRŽAVNI ZAVOD ZA INTELEKTUALNO VLASNIŠTVO</w:t>
            </w:r>
          </w:p>
        </w:tc>
      </w:tr>
      <w:tr w:rsidR="006D6F32" w14:paraId="72511131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67F4A78" w14:textId="77777777" w:rsidR="006D6F32" w:rsidRDefault="009C7B9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C58B628" w14:textId="77777777" w:rsidR="006D6F32" w:rsidRDefault="009C7B90">
            <w:pPr>
              <w:spacing w:after="0" w:line="240" w:lineRule="auto"/>
            </w:pPr>
            <w:r>
              <w:t>11</w:t>
            </w:r>
          </w:p>
        </w:tc>
      </w:tr>
    </w:tbl>
    <w:p w14:paraId="2B0D7DF6" w14:textId="77777777" w:rsidR="006D6F32" w:rsidRDefault="009C7B90">
      <w:r>
        <w:br/>
      </w:r>
    </w:p>
    <w:p w14:paraId="3FA61544" w14:textId="77777777" w:rsidR="006D6F32" w:rsidRDefault="009C7B9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618AB5CE" w14:textId="77777777" w:rsidR="006D6F32" w:rsidRDefault="009C7B9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16D9374" w14:textId="77777777" w:rsidR="006D6F32" w:rsidRDefault="009C7B9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03BE8709" w14:textId="77777777" w:rsidR="006D6F32" w:rsidRDefault="006D6F32"/>
    <w:p w14:paraId="3F4F1918" w14:textId="77777777" w:rsidR="006D6F32" w:rsidRDefault="009C7B9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588289BB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13C103E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EAA6DF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108DFC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23AF46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07E925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880CAD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5B39B1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7AD8806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BFB57E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A29749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92B6BE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796E18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2.482.079,31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8144BE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2.934.908,84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370571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118,2</w:t>
            </w:r>
          </w:p>
        </w:tc>
      </w:tr>
      <w:tr w:rsidR="006D6F32" w14:paraId="599E018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C33D78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1A1238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3997DB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83782A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2.072.429,74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A5B84E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2.616.388,19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9C4207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126,2</w:t>
            </w:r>
          </w:p>
        </w:tc>
      </w:tr>
      <w:tr w:rsidR="006D6F32" w14:paraId="6ECB03D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AC681D" w14:textId="77777777" w:rsidR="006D6F32" w:rsidRDefault="006D6F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22E77D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17A724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73C5F4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409.649,57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7DEC1F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318.520,65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D829DE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77,8</w:t>
            </w:r>
          </w:p>
        </w:tc>
      </w:tr>
      <w:tr w:rsidR="006D6F32" w14:paraId="2080848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60036F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70A48B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656600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06F15B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660459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C1D7CC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D6F32" w14:paraId="374B762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69EE16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DFAC2A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DCAFEF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563426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6.039,66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1B64DB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7.186,04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F8F13D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119,0</w:t>
            </w:r>
          </w:p>
        </w:tc>
      </w:tr>
      <w:tr w:rsidR="006D6F32" w14:paraId="24E0D61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01349F" w14:textId="77777777" w:rsidR="006D6F32" w:rsidRDefault="006D6F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4CB244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5FDA3B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43E944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6.039,66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58BBD4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7.186,04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2AA3F5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119,0</w:t>
            </w:r>
          </w:p>
        </w:tc>
      </w:tr>
      <w:tr w:rsidR="006D6F32" w14:paraId="65F4FB6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81A29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4684B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5D6957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9F3627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ED4045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C7898F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D6F32" w14:paraId="034C081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5D9110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92C2D7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499C8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05EF02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AEFA05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BA4093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D6F32" w14:paraId="18C0599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DE44A7" w14:textId="77777777" w:rsidR="006D6F32" w:rsidRDefault="006D6F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FC714A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9324AF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F330A1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9D6F45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C2A1A6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D6F32" w14:paraId="0D78976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3A9CB3" w14:textId="77777777" w:rsidR="006D6F32" w:rsidRDefault="006D6F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9A4F80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E8BE7D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E084D9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403.609,91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553E96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311.334,61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4F04D1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77,1</w:t>
            </w:r>
          </w:p>
        </w:tc>
      </w:tr>
    </w:tbl>
    <w:p w14:paraId="6654025C" w14:textId="77777777" w:rsidR="006D6F32" w:rsidRDefault="006D6F32">
      <w:pPr>
        <w:spacing w:after="0"/>
      </w:pPr>
    </w:p>
    <w:p w14:paraId="3FEB5E03" w14:textId="77777777" w:rsidR="006D6F32" w:rsidRDefault="009C7B90">
      <w:pPr>
        <w:spacing w:line="240" w:lineRule="auto"/>
        <w:jc w:val="both"/>
      </w:pPr>
      <w:r>
        <w:t xml:space="preserve">Izvještajno razdoblje prikazuje značajniji rast prihoda i rashoda. Povećanje rashoda je rezultat prvenstveno značajnog rasta rashoda za zaposlene (djelomično kao rezultat isplate povećanih plaća temeljem provedene reforme tijekom cijelog izvještajnog razdoblja, za razliku od usporednog razdoblja, a djelomično zbog drugačijeg modela evidentiranja kontinuiranih rashoda), a čije izvršenje je zahtijevalo i povećanje prihoda iz DP-a. Ujedno je povećanju prihoda </w:t>
      </w:r>
      <w:proofErr w:type="spellStart"/>
      <w:r>
        <w:t>doprinjela</w:t>
      </w:r>
      <w:proofErr w:type="spellEnd"/>
      <w:r>
        <w:t xml:space="preserve"> i uplata naknada troškova (</w:t>
      </w:r>
      <w:proofErr w:type="spellStart"/>
      <w:r>
        <w:t>offsetting</w:t>
      </w:r>
      <w:proofErr w:type="spellEnd"/>
      <w:r>
        <w:t xml:space="preserve"> -bilješka 6526) koja je izostala u usporednom razdoblju.</w:t>
      </w:r>
    </w:p>
    <w:p w14:paraId="438263B8" w14:textId="77777777" w:rsidR="006D6F32" w:rsidRDefault="009C7B90">
      <w:r>
        <w:lastRenderedPageBreak/>
        <w:br/>
      </w:r>
    </w:p>
    <w:p w14:paraId="7C386062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79EE28F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D687F0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29D13C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4CDCD7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C0E91E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BBE28B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EE9C47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412BC44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A61EB0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F41E2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međunarodnih organizacija te institucija i tijela EU (šifre 6321 do 6324)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34A9D0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635186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10.545,38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3B6E08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19.005,66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F8CF0D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180,2</w:t>
            </w:r>
          </w:p>
        </w:tc>
      </w:tr>
    </w:tbl>
    <w:p w14:paraId="47164F49" w14:textId="77777777" w:rsidR="006D6F32" w:rsidRDefault="006D6F32">
      <w:pPr>
        <w:spacing w:after="0"/>
      </w:pPr>
    </w:p>
    <w:p w14:paraId="3DEC6C6D" w14:textId="77777777" w:rsidR="006D6F32" w:rsidRDefault="009C7B90">
      <w:pPr>
        <w:spacing w:line="240" w:lineRule="auto"/>
        <w:jc w:val="both"/>
      </w:pPr>
      <w:r>
        <w:t>Povećanje prihoda na ovoj stavci odnosi se na primljene refundacije za poduzeti veći broj (u odnosu na usporednu godinu) službenih putovanja zaposlenika Zavoda radi sudjelovanja u radu tijela Europskog patentnog ureda (EPO), kao i refundaciju za usavršavanje službenih jezika EPO-a zaposlenicima na poslovima povezanima s radom EPO-a.</w:t>
      </w:r>
    </w:p>
    <w:p w14:paraId="32086153" w14:textId="77777777" w:rsidR="006D6F32" w:rsidRDefault="006D6F32"/>
    <w:p w14:paraId="068A6AD2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10EFA72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30C093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588969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9C8253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406353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2F3156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45CFA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77BFF15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EC762F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7EBBF3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FD08B5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43E0C5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777.275,13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12B751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611.695,55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0F586B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78,7</w:t>
            </w:r>
          </w:p>
        </w:tc>
      </w:tr>
    </w:tbl>
    <w:p w14:paraId="199A62BC" w14:textId="77777777" w:rsidR="006D6F32" w:rsidRDefault="006D6F32">
      <w:pPr>
        <w:spacing w:after="0"/>
      </w:pPr>
    </w:p>
    <w:p w14:paraId="52CA8EC0" w14:textId="77777777" w:rsidR="006D6F32" w:rsidRDefault="009C7B90">
      <w:pPr>
        <w:spacing w:line="240" w:lineRule="auto"/>
        <w:jc w:val="both"/>
      </w:pPr>
      <w:r>
        <w:t xml:space="preserve">Prihodi se ostvaruju temeljem provedbe međunarodnih ugovora o suradnji vezanih za područje patenata, i pripadajući dio pristojbi od uplata podnositelja prijava patenata, kao i nositelja priznatih i važećih patenata se prosljeđuje uredima ugovornih međunarodnih organizacija: Svjetske organizacije za intelektualno vlasništvo (WIPO) i Europske patentne organizacije (EPO), dok se preostali dio prihoda periodično </w:t>
      </w:r>
      <w:proofErr w:type="spellStart"/>
      <w:r>
        <w:t>preknjižava</w:t>
      </w:r>
      <w:proofErr w:type="spellEnd"/>
      <w:r>
        <w:t xml:space="preserve"> u korist  općih prihoda Državnog proračuna (DP).   Uz približno 35.000 € manju razinu uplaćenih pristojbi u prvom  polugodištu 2025., izvršeno je </w:t>
      </w:r>
      <w:proofErr w:type="spellStart"/>
      <w:r>
        <w:t>preknjiženje</w:t>
      </w:r>
      <w:proofErr w:type="spellEnd"/>
      <w:r>
        <w:t xml:space="preserve"> u korist općih prihoda DP u iznosu od 830.000 €, dok je u usporednom razdoblju </w:t>
      </w:r>
      <w:proofErr w:type="spellStart"/>
      <w:r>
        <w:t>preknjiženo</w:t>
      </w:r>
      <w:proofErr w:type="spellEnd"/>
      <w:r>
        <w:t xml:space="preserve"> 700.000 € , tj. smanjena je rezerva za tekuća plaćanja.</w:t>
      </w:r>
    </w:p>
    <w:p w14:paraId="3FD34E64" w14:textId="77777777" w:rsidR="006D6F32" w:rsidRDefault="006D6F32"/>
    <w:p w14:paraId="287328B9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1FFC493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EE053D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4BF2AB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A9471C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19F7D4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456731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94A149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48021EB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9242DD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1BD76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225578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359D09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280.244,84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D634D6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672.346,75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B5C2E2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239,9</w:t>
            </w:r>
          </w:p>
        </w:tc>
      </w:tr>
    </w:tbl>
    <w:p w14:paraId="14616D66" w14:textId="77777777" w:rsidR="006D6F32" w:rsidRDefault="006D6F32">
      <w:pPr>
        <w:spacing w:after="0"/>
      </w:pPr>
    </w:p>
    <w:p w14:paraId="78AE971A" w14:textId="77777777" w:rsidR="006D6F32" w:rsidRDefault="009C7B90">
      <w:pPr>
        <w:spacing w:line="240" w:lineRule="auto"/>
        <w:jc w:val="both"/>
      </w:pPr>
      <w:r>
        <w:t>Ovi prihodi po posebnim propisima su prihodi suradnje s Uredom Europske unije za intelektualno vlasništvo (EUIPO). Iznosi predstavljaju zbroj akontacijske rate ugovora i obračunske rate za prethodno godišnje razdoblje, a ukupni iznos ovisi o opsegu i vrsti provedenih aktivnosti suradnje. Znatno uvećanje za 2025. proizlazi iz aktivnosti  suradnje s većim financijskim učinkom te uplate iznosa naknada troškova državama članicama za poslove povezane sa sustavom žiga EU-a  (</w:t>
      </w:r>
      <w:proofErr w:type="spellStart"/>
      <w:r>
        <w:t>tzv.offsetting</w:t>
      </w:r>
      <w:proofErr w:type="spellEnd"/>
      <w:r>
        <w:t>), koji se isplaćuje ako se ostvare nužni uvjeti pozitivnog poslovanja EUIPO-a. U 2024. takve uplate nije bilo zbog negativnog poslovanja EUIPO-a u relevantnom razdoblju.</w:t>
      </w:r>
    </w:p>
    <w:p w14:paraId="5CE7B15C" w14:textId="77777777" w:rsidR="006D6F32" w:rsidRDefault="006D6F32"/>
    <w:p w14:paraId="3F8C0C6F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61B9423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C5DB62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7E2F5F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EC1139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5D9D02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5D45BF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497925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1E58F90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2E9758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70D080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i od HZZO-a na temelju ugovornih obveza (šifre 671+673)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FBADEB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4BEE08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1.391.758,22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F784B1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1.610.140,68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AA67B2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115,7</w:t>
            </w:r>
          </w:p>
        </w:tc>
      </w:tr>
    </w:tbl>
    <w:p w14:paraId="5655269A" w14:textId="77777777" w:rsidR="006D6F32" w:rsidRDefault="006D6F32">
      <w:pPr>
        <w:spacing w:after="0"/>
      </w:pPr>
    </w:p>
    <w:p w14:paraId="1BB6C53A" w14:textId="77777777" w:rsidR="006D6F32" w:rsidRDefault="009C7B90">
      <w:pPr>
        <w:spacing w:line="240" w:lineRule="auto"/>
        <w:jc w:val="both"/>
      </w:pPr>
      <w:r>
        <w:t>Ovo su prihodi iz DP-a koji pokrivaju rashode za zaposlene i druge rashode koji se financiraju s izvora 11 (Opći prihodi i primici).  U izvještajnom razdoblju su znatno veći  prvenstveno zbog većih Rashoda za zaposlene (pojašnjeno pod šifrom 31)</w:t>
      </w:r>
    </w:p>
    <w:p w14:paraId="4DB90F65" w14:textId="77777777" w:rsidR="006D6F32" w:rsidRDefault="006D6F32"/>
    <w:p w14:paraId="4F9080EA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0C09D93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AE6812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DB7D4A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625861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E52235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5E2218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4EE091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1B8CEF9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DFECB2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886C50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B01872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A6B005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1.264.188,77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BB8B28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1.729.681,81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D6411E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136,8</w:t>
            </w:r>
          </w:p>
        </w:tc>
      </w:tr>
    </w:tbl>
    <w:p w14:paraId="08D06FF1" w14:textId="77777777" w:rsidR="006D6F32" w:rsidRDefault="006D6F32">
      <w:pPr>
        <w:spacing w:after="0"/>
      </w:pPr>
    </w:p>
    <w:p w14:paraId="3F631C3C" w14:textId="77777777" w:rsidR="006D6F32" w:rsidRDefault="009C7B90">
      <w:pPr>
        <w:spacing w:line="240" w:lineRule="auto"/>
        <w:jc w:val="both"/>
      </w:pPr>
      <w:r>
        <w:t xml:space="preserve">Na povećanje na Rashodima za zaposlene utjecalo je: a) provedena reforme plaća državnih službenika i namještenika kroz </w:t>
      </w:r>
      <w:proofErr w:type="spellStart"/>
      <w:r>
        <w:t>uskladu</w:t>
      </w:r>
      <w:proofErr w:type="spellEnd"/>
      <w:r>
        <w:t xml:space="preserve"> i povećanje koeficijenata, b) zakonske izmjene u evidentiranju rashoda plaće prema razdoblju na koje se odnose (pa izvještajno razdoblje sadrži 7, a usporedno 6 mjesečnih obračuna) i  c) veći broj isplaćenih jubilarnih nagrada zaposlenicima te pomoći za bolesti i smrtne slučajeve te veći broj prekovremenih sati rada za koji je isplaćena novčana naknada.</w:t>
      </w:r>
    </w:p>
    <w:p w14:paraId="583EFFAA" w14:textId="77777777" w:rsidR="006D6F32" w:rsidRDefault="006D6F32"/>
    <w:p w14:paraId="03E2FCBF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0E2D02A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06D2A6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CC0B0A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D04537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FC2CDE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520AFA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7BF9DA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190BA48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CB8E37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1BD41B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A50107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252EB3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34.884,01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7D7BF8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40.880,06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09A4FE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117,2</w:t>
            </w:r>
          </w:p>
        </w:tc>
      </w:tr>
    </w:tbl>
    <w:p w14:paraId="6EB48DDC" w14:textId="77777777" w:rsidR="006D6F32" w:rsidRDefault="006D6F32">
      <w:pPr>
        <w:spacing w:after="0"/>
      </w:pPr>
    </w:p>
    <w:p w14:paraId="1FB32C8E" w14:textId="77777777" w:rsidR="006D6F32" w:rsidRDefault="009C7B90">
      <w:pPr>
        <w:spacing w:line="240" w:lineRule="auto"/>
        <w:jc w:val="both"/>
      </w:pPr>
      <w:r>
        <w:t>Poduzet je približno jednak broj službenih putovanja, a na povećanje troškova je najviše utjecao porast cijena zrakoplovnih karata (većina službenih putovanja su inozemna putovanja povezana s europskim i međunarodnim organizacijama za intelektualno vlasništvo ili radom stručnih tijela EU-a)</w:t>
      </w:r>
    </w:p>
    <w:p w14:paraId="37C11256" w14:textId="77777777" w:rsidR="006D6F32" w:rsidRDefault="006D6F32"/>
    <w:p w14:paraId="04E9436A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478263E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CBE8A4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A898B8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F7AD14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B790C4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396109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4C41BA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56B3B09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3F4B8A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41D6EE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DF5495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BCB616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11.638,75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A261A8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6.411,25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892093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55,1</w:t>
            </w:r>
          </w:p>
        </w:tc>
      </w:tr>
    </w:tbl>
    <w:p w14:paraId="468AA789" w14:textId="77777777" w:rsidR="006D6F32" w:rsidRDefault="006D6F32">
      <w:pPr>
        <w:spacing w:after="0"/>
      </w:pPr>
    </w:p>
    <w:p w14:paraId="504A1753" w14:textId="77777777" w:rsidR="006D6F32" w:rsidRDefault="009C7B90">
      <w:pPr>
        <w:spacing w:line="240" w:lineRule="auto"/>
        <w:jc w:val="both"/>
      </w:pPr>
      <w:r>
        <w:t>U prvoj polovici 2025. je provedeno je manje stručnog usavršavanja zaposlenika u odnosu na usporedno razdoblje</w:t>
      </w:r>
    </w:p>
    <w:p w14:paraId="456D9BDA" w14:textId="77777777" w:rsidR="006D6F32" w:rsidRDefault="006D6F32"/>
    <w:p w14:paraId="1900C5BA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1D3E54D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AE27A4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33ABD3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53910C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F05991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A8F236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60AF9F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26EA38E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494E29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48727B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5CAEA0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A41713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15.739,20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1623C4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9.142,22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671DAC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58,1</w:t>
            </w:r>
          </w:p>
        </w:tc>
      </w:tr>
    </w:tbl>
    <w:p w14:paraId="02960C01" w14:textId="77777777" w:rsidR="006D6F32" w:rsidRDefault="006D6F32">
      <w:pPr>
        <w:spacing w:after="0"/>
      </w:pPr>
    </w:p>
    <w:p w14:paraId="51572F2B" w14:textId="77777777" w:rsidR="006D6F32" w:rsidRDefault="009C7B90">
      <w:pPr>
        <w:spacing w:line="240" w:lineRule="auto"/>
        <w:jc w:val="both"/>
      </w:pPr>
      <w:r>
        <w:t>Smanjenje jer nije korištena usluga objave oglasa natječaja za zapošljavanje u Zavodu u ovom razdoblju</w:t>
      </w:r>
    </w:p>
    <w:p w14:paraId="18B9764B" w14:textId="77777777" w:rsidR="006D6F32" w:rsidRDefault="006D6F32"/>
    <w:p w14:paraId="1DFBD46B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4A904F7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10D70C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16E0D1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BB9CA0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7472C6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640F2B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A69434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08F7D6A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45EB3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5C718C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7CCAEB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818903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14.025,70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722AA8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19.481,28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DB3E75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138,9</w:t>
            </w:r>
          </w:p>
        </w:tc>
      </w:tr>
    </w:tbl>
    <w:p w14:paraId="26F2E82A" w14:textId="77777777" w:rsidR="006D6F32" w:rsidRDefault="006D6F32">
      <w:pPr>
        <w:spacing w:after="0"/>
      </w:pPr>
    </w:p>
    <w:p w14:paraId="4FC153C5" w14:textId="77777777" w:rsidR="006D6F32" w:rsidRDefault="009C7B90">
      <w:pPr>
        <w:spacing w:line="240" w:lineRule="auto"/>
        <w:jc w:val="both"/>
      </w:pPr>
      <w:r>
        <w:t>Povećanje je zbog troška najma opreme kod organizacije obilježavanja Svjetskog dana intelektualnog vlasništva</w:t>
      </w:r>
    </w:p>
    <w:p w14:paraId="46B79577" w14:textId="77777777" w:rsidR="006D6F32" w:rsidRDefault="006D6F32"/>
    <w:p w14:paraId="0BEDDB76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33F6793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09008E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671463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85FAC6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F24B7B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468774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C7117C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45B894D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944105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8F05B9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DB9128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5C6440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863,01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7ED859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6.837,00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3E93CA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792,2</w:t>
            </w:r>
          </w:p>
        </w:tc>
      </w:tr>
    </w:tbl>
    <w:p w14:paraId="55329129" w14:textId="77777777" w:rsidR="006D6F32" w:rsidRDefault="006D6F32">
      <w:pPr>
        <w:spacing w:after="0"/>
      </w:pPr>
    </w:p>
    <w:p w14:paraId="0FF7AD4F" w14:textId="77777777" w:rsidR="006D6F32" w:rsidRDefault="009C7B90">
      <w:pPr>
        <w:spacing w:line="240" w:lineRule="auto"/>
        <w:jc w:val="both"/>
      </w:pPr>
      <w:r>
        <w:t>U 2025. je izvršen redovni godišnji sistematski zdravstveni pregled zaposlenika starijih od 50 godina, dok su u 2024.obavljeni redovni liječnički pregledi kod prijama u službu, te jedan oftalmološki pregled</w:t>
      </w:r>
    </w:p>
    <w:p w14:paraId="2BC07A41" w14:textId="77777777" w:rsidR="006D6F32" w:rsidRDefault="006D6F32"/>
    <w:p w14:paraId="121EDF31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5FAD693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650A88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51D1EE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EF7F16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EB50DA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89775D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B4FF27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2DEC25C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AB1C7C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7073ED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1C0B63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EDA8F6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38.178,66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77B098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44.854,49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BE9F24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117,5</w:t>
            </w:r>
          </w:p>
        </w:tc>
      </w:tr>
    </w:tbl>
    <w:p w14:paraId="57734818" w14:textId="77777777" w:rsidR="006D6F32" w:rsidRDefault="006D6F32">
      <w:pPr>
        <w:spacing w:after="0"/>
      </w:pPr>
    </w:p>
    <w:p w14:paraId="7CA1AF03" w14:textId="77777777" w:rsidR="006D6F32" w:rsidRDefault="009C7B90">
      <w:pPr>
        <w:spacing w:line="240" w:lineRule="auto"/>
        <w:jc w:val="both"/>
      </w:pPr>
      <w:r>
        <w:t>U izvještajnom razdoblju je izvršeno plaćanje razvoja nove funkcionalnosti korisničke usluge (mogućnost zbirne uplate naknada troškova postupaka i održavanja prava u vrijednosti) , dok su na približno istom nivou ostale usluge održavanja mrežne i hardverske opreme, održavanja mrežnih stranica Zavoda, razvoja i održavanja internih poslovnih aplikacija i korisničkih aplikacija za elektroničke usluge te održavanja računovodstvenih programa.</w:t>
      </w:r>
    </w:p>
    <w:p w14:paraId="61C3EE50" w14:textId="77777777" w:rsidR="006D6F32" w:rsidRDefault="006D6F32"/>
    <w:p w14:paraId="349A6661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6D5EAB7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565F9F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9F1C12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04B90E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3C11BF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81A70C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F27AD3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0B206F7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E50AFC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E3511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A9EC1D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D406CD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15C076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4.135,78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854E79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787,8</w:t>
            </w:r>
          </w:p>
        </w:tc>
      </w:tr>
    </w:tbl>
    <w:p w14:paraId="76611DA4" w14:textId="77777777" w:rsidR="006D6F32" w:rsidRDefault="006D6F32">
      <w:pPr>
        <w:spacing w:after="0"/>
      </w:pPr>
    </w:p>
    <w:p w14:paraId="06BB0E9F" w14:textId="77777777" w:rsidR="006D6F32" w:rsidRDefault="009C7B90">
      <w:pPr>
        <w:spacing w:line="240" w:lineRule="auto"/>
        <w:jc w:val="both"/>
      </w:pPr>
      <w:r>
        <w:t xml:space="preserve">U izvještajnom razdoblju se evidentira trošak korištenja </w:t>
      </w:r>
      <w:proofErr w:type="spellStart"/>
      <w:r>
        <w:t>Multisport</w:t>
      </w:r>
      <w:proofErr w:type="spellEnd"/>
      <w:r>
        <w:t xml:space="preserve"> kartice za zaposlenike, a taj se trošak refundira od zaposlenika kroz obustavu na plaću onih koji koriste ovu pogodnost.</w:t>
      </w:r>
    </w:p>
    <w:p w14:paraId="512CAEEB" w14:textId="77777777" w:rsidR="006D6F32" w:rsidRDefault="006D6F32"/>
    <w:p w14:paraId="3A3F6050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7F2ACBD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5EA8F7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84E5A5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6AC394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DE0065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C217CF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181001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6B26202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DB741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006C0C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3DC0DC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1C69C0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594.400,97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11BC92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653.935,11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7C145E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110,0</w:t>
            </w:r>
          </w:p>
        </w:tc>
      </w:tr>
    </w:tbl>
    <w:p w14:paraId="30AB84DB" w14:textId="77777777" w:rsidR="006D6F32" w:rsidRDefault="006D6F32">
      <w:pPr>
        <w:spacing w:after="0"/>
      </w:pPr>
    </w:p>
    <w:p w14:paraId="3F148A91" w14:textId="77777777" w:rsidR="006D6F32" w:rsidRDefault="009C7B90">
      <w:pPr>
        <w:spacing w:line="240" w:lineRule="auto"/>
        <w:jc w:val="both"/>
      </w:pPr>
      <w:r>
        <w:t>Povećani rashodi na stavci Ostali nespomenuti rashodi poslovanja rezultat su najviše povećanja rashoda za Pristojbe i naknade (šifra 3295), a koje se odnose na prijenos uplaćenih pristojbi po osnovi Konvencije o priznavanju europskih patenata (EPC) za održavanje patenata u EPO (a visina kojih ovisi o broju podnesenih prijava u pojedinom razdoblju, kao i o godini te ukupnom trajanju održavanja patenata od strane njihovih nositelja).</w:t>
      </w:r>
    </w:p>
    <w:p w14:paraId="1214C1AF" w14:textId="77777777" w:rsidR="006D6F32" w:rsidRDefault="006D6F32"/>
    <w:p w14:paraId="4157045B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D6F32" w14:paraId="6506AD5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4EF039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629A63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C9C673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CECE45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CBF226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1587C7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5347847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33D5F7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A440E4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Troškovi sudskih postupaka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5A54B3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704A32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2.695,64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DB1A9B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8.890,37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98A039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329,8</w:t>
            </w:r>
          </w:p>
        </w:tc>
      </w:tr>
    </w:tbl>
    <w:p w14:paraId="79B1E0A8" w14:textId="77777777" w:rsidR="006D6F32" w:rsidRDefault="006D6F32">
      <w:pPr>
        <w:spacing w:after="0"/>
      </w:pPr>
    </w:p>
    <w:p w14:paraId="380490E8" w14:textId="77777777" w:rsidR="006D6F32" w:rsidRDefault="009C7B90">
      <w:pPr>
        <w:spacing w:line="240" w:lineRule="auto"/>
        <w:jc w:val="both"/>
      </w:pPr>
      <w:r>
        <w:lastRenderedPageBreak/>
        <w:t>Povećanje rashoda po osnovi sudskih postupaka rezultat je varijabilne dinamike rješavanja sudskih sporova u nadležnosti sudova te ishoda tih sporova. U izvještajnom razdoblju bilo je više presuda u korist tužitelja u odnosu na usporedno razdoblje.</w:t>
      </w:r>
    </w:p>
    <w:p w14:paraId="2237E222" w14:textId="77777777" w:rsidR="006D6F32" w:rsidRDefault="006D6F32"/>
    <w:p w14:paraId="54EB01A0" w14:textId="77777777" w:rsidR="006D6F32" w:rsidRDefault="009C7B9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56AA37B5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D6F32" w14:paraId="73D90E4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27F9C3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A593F8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2A5AAD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E5608F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B63342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5ACBAED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0535BF" w14:textId="77777777" w:rsidR="006D6F32" w:rsidRDefault="006D6F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EBC1B9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7387CE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2DF37B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283.653,17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E28316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2FE813C" w14:textId="77777777" w:rsidR="006D6F32" w:rsidRDefault="006D6F32">
      <w:pPr>
        <w:spacing w:after="0"/>
      </w:pPr>
    </w:p>
    <w:p w14:paraId="08B0B790" w14:textId="77777777" w:rsidR="006D6F32" w:rsidRDefault="009C7B90">
      <w:pPr>
        <w:spacing w:line="240" w:lineRule="auto"/>
        <w:jc w:val="both"/>
      </w:pPr>
      <w:r>
        <w:t>Stanje obveza na početku promatrane godine u najvećoj mjeri (83%) obuhvaćaju plaće za prosinac 2024. godine isplaćene u siječnju 2025. godine, dok ostale rashode čine obveze za nabavu nefinancijske imovine, međusobne obveze subjekata općeg proračuna, te obveze za materijalne rashode. Sve su obaveze nedospjele s datumom 1. siječnja 2025.</w:t>
      </w:r>
    </w:p>
    <w:p w14:paraId="7E7EBDD7" w14:textId="77777777" w:rsidR="006D6F32" w:rsidRDefault="006D6F32"/>
    <w:p w14:paraId="5F45D997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D6F32" w14:paraId="3F1FB54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B952B2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A62C2B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F91542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B16231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10AF3D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4C59BEE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79C027" w14:textId="77777777" w:rsidR="006D6F32" w:rsidRDefault="006D6F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CD78D3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A11CA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D42E80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088817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9FDC17E" w14:textId="77777777" w:rsidR="006D6F32" w:rsidRDefault="006D6F32">
      <w:pPr>
        <w:spacing w:after="0"/>
      </w:pPr>
    </w:p>
    <w:p w14:paraId="06F4D83E" w14:textId="77777777" w:rsidR="006D6F32" w:rsidRDefault="009C7B90">
      <w:pPr>
        <w:spacing w:line="240" w:lineRule="auto"/>
        <w:jc w:val="both"/>
      </w:pPr>
      <w:r>
        <w:t>Nema dospjelih obveza na kraju izvještajnog razdoblja.</w:t>
      </w:r>
    </w:p>
    <w:p w14:paraId="7A18715A" w14:textId="77777777" w:rsidR="006D6F32" w:rsidRDefault="006D6F32"/>
    <w:p w14:paraId="16C177B1" w14:textId="77777777" w:rsidR="006D6F32" w:rsidRDefault="009C7B9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D6F32" w14:paraId="3C8FFA2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198DA8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5C1D07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D27BD2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E4FECF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1004AB" w14:textId="77777777" w:rsidR="006D6F32" w:rsidRDefault="009C7B9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D6F32" w14:paraId="25A2A4A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7D531B" w14:textId="77777777" w:rsidR="006D6F32" w:rsidRDefault="006D6F32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EA2CF1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CAF664" w14:textId="77777777" w:rsidR="006D6F32" w:rsidRDefault="009C7B9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5B0FD5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298.915,99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7B0604" w14:textId="77777777" w:rsidR="006D6F32" w:rsidRDefault="009C7B9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B93E619" w14:textId="77777777" w:rsidR="006D6F32" w:rsidRDefault="006D6F32">
      <w:pPr>
        <w:spacing w:after="0"/>
      </w:pPr>
    </w:p>
    <w:p w14:paraId="23EF2CD8" w14:textId="77777777" w:rsidR="006D6F32" w:rsidRDefault="009C7B90">
      <w:pPr>
        <w:spacing w:line="240" w:lineRule="auto"/>
        <w:jc w:val="both"/>
      </w:pPr>
      <w:r>
        <w:t>Stanje nedospjelih obveza na kraju izvještajnog razdoblja (298.915,99 €) najvećim dijelom predstavlja obveze za zaposlene, za isplatu plaća i naknade prijevoza za lipanj 2025. godine, a koje se isplaćuju u srpnju (244.763,18 €).</w:t>
      </w:r>
    </w:p>
    <w:p w14:paraId="29981357" w14:textId="77777777" w:rsidR="006D6F32" w:rsidRDefault="006D6F32"/>
    <w:sectPr w:rsidR="006D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32"/>
    <w:rsid w:val="00263B9D"/>
    <w:rsid w:val="002B4F1E"/>
    <w:rsid w:val="006D6F32"/>
    <w:rsid w:val="009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F202"/>
  <w15:docId w15:val="{40768881-3CAE-41EF-BE75-0FBD9583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1634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Kljajić Vidović</dc:creator>
  <cp:lastModifiedBy>Zoran Vlatko-Bučić</cp:lastModifiedBy>
  <cp:revision>2</cp:revision>
  <dcterms:created xsi:type="dcterms:W3CDTF">2025-07-31T11:02:00Z</dcterms:created>
  <dcterms:modified xsi:type="dcterms:W3CDTF">2025-07-31T11:02:00Z</dcterms:modified>
</cp:coreProperties>
</file>